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AFA0C6" w14:textId="51D374AD" w:rsidR="000F7BEB" w:rsidRPr="000F7BEB" w:rsidRDefault="00F3282F" w:rsidP="00694668">
      <w:pPr>
        <w:jc w:val="both"/>
        <w:rPr>
          <w:b/>
        </w:rPr>
      </w:pPr>
      <w:r w:rsidRPr="00F43377">
        <w:rPr>
          <w:b/>
        </w:rPr>
        <w:t xml:space="preserve">Allegato </w:t>
      </w:r>
      <w:bookmarkStart w:id="0" w:name="_GoBack"/>
      <w:bookmarkEnd w:id="0"/>
      <w:r w:rsidRPr="00F43377">
        <w:rPr>
          <w:b/>
        </w:rPr>
        <w:t>A-</w:t>
      </w:r>
      <w:r>
        <w:rPr>
          <w:b/>
          <w:sz w:val="20"/>
        </w:rPr>
        <w:t xml:space="preserve"> </w:t>
      </w:r>
      <w:r w:rsidR="000F7BEB" w:rsidRPr="000F7BEB">
        <w:rPr>
          <w:b/>
        </w:rPr>
        <w:t xml:space="preserve">SCHEDA DI APPROFONDIMENTO </w:t>
      </w:r>
      <w:r w:rsidR="00694668">
        <w:rPr>
          <w:b/>
        </w:rPr>
        <w:t xml:space="preserve">TECNICO GIURIDICA </w:t>
      </w:r>
      <w:r w:rsidR="006541EA" w:rsidRPr="006541EA">
        <w:rPr>
          <w:b/>
        </w:rPr>
        <w:t xml:space="preserve">DELLO STRUMENTO ZES IN COMPLIANCE CON </w:t>
      </w:r>
      <w:r w:rsidR="006541EA">
        <w:rPr>
          <w:b/>
        </w:rPr>
        <w:t>L</w:t>
      </w:r>
      <w:r w:rsidR="006541EA" w:rsidRPr="006541EA">
        <w:rPr>
          <w:b/>
        </w:rPr>
        <w:t xml:space="preserve">A </w:t>
      </w:r>
      <w:r w:rsidR="006541EA">
        <w:rPr>
          <w:b/>
        </w:rPr>
        <w:t>NO</w:t>
      </w:r>
      <w:r w:rsidR="006541EA" w:rsidRPr="006541EA">
        <w:rPr>
          <w:b/>
        </w:rPr>
        <w:t>RMATIVA SUGLI AIUTI DI STATO.</w:t>
      </w:r>
      <w:r w:rsidR="00EF1372" w:rsidRPr="00EF1372">
        <w:t xml:space="preserve"> </w:t>
      </w:r>
      <w:r w:rsidR="00EF1372" w:rsidRPr="00EF1372">
        <w:rPr>
          <w:b/>
        </w:rPr>
        <w:t>INQUADRAMENTO DELL'ISTITUTO, STRUMENTI AGEVOLATIVI E REGOLE DI CUMULO</w:t>
      </w:r>
      <w:r w:rsidR="00EF1372">
        <w:rPr>
          <w:b/>
        </w:rPr>
        <w:t xml:space="preserve"> </w:t>
      </w:r>
      <w:r w:rsidR="00EF1372" w:rsidRPr="00EF1372">
        <w:rPr>
          <w:b/>
        </w:rPr>
        <w:t>CON ALTRE AGEVOLAZIONI A VALERE SUL MEDESIMO PROGETTO DI INVESTIMENTO</w:t>
      </w:r>
    </w:p>
    <w:p w14:paraId="21B795E3" w14:textId="77777777" w:rsidR="00360279" w:rsidRPr="00487962" w:rsidRDefault="00360279" w:rsidP="00487962">
      <w:pPr>
        <w:jc w:val="both"/>
        <w:rPr>
          <w:b/>
        </w:rPr>
      </w:pPr>
      <w:r w:rsidRPr="00487962">
        <w:rPr>
          <w:b/>
        </w:rPr>
        <w:t>Premessa</w:t>
      </w:r>
    </w:p>
    <w:p w14:paraId="313C723C" w14:textId="16A2DFAD" w:rsidR="00EF1372" w:rsidRDefault="00EF1372" w:rsidP="00EF1372">
      <w:pPr>
        <w:jc w:val="both"/>
      </w:pPr>
      <w:r>
        <w:t xml:space="preserve">Il presente documento nasce dall'esigenza di fornire, in forma organica, un quadro di riferimento sull'applicazione della disciplina europea in materia di aiuti di Stato alla Zona Economica Speciale nella sua recente estensione al territorio della Regione Marche. L'istituto, per quanto disciplinato a livello nazionale, </w:t>
      </w:r>
      <w:r w:rsidR="00F32EAB">
        <w:t xml:space="preserve">potrebbe </w:t>
      </w:r>
      <w:r>
        <w:t>produ</w:t>
      </w:r>
      <w:r w:rsidR="00F32EAB">
        <w:t>rre</w:t>
      </w:r>
      <w:r>
        <w:t xml:space="preserve"> effetti che ricadono direttamente sull'attività istruttoria regionale, in particolare laddove </w:t>
      </w:r>
      <w:r w:rsidR="00F32EAB">
        <w:t xml:space="preserve">sul medesimo </w:t>
      </w:r>
      <w:r>
        <w:t xml:space="preserve">progetto di investimento aziendale </w:t>
      </w:r>
      <w:r w:rsidR="00F32EAB">
        <w:t xml:space="preserve">si </w:t>
      </w:r>
      <w:r>
        <w:t xml:space="preserve">intenda combinare il credito d'imposta ZES con altre agevolazioni </w:t>
      </w:r>
      <w:r w:rsidR="00F32EAB">
        <w:t>regionali</w:t>
      </w:r>
      <w:r w:rsidR="00A2596F">
        <w:t xml:space="preserve">, </w:t>
      </w:r>
      <w:r w:rsidR="00F32EAB">
        <w:t xml:space="preserve">indipendentemente dal colore della copertura finanziaria </w:t>
      </w:r>
      <w:r>
        <w:t>statal</w:t>
      </w:r>
      <w:r w:rsidR="00F32EAB">
        <w:t>e</w:t>
      </w:r>
      <w:r>
        <w:t>, regional</w:t>
      </w:r>
      <w:r w:rsidR="00F32EAB">
        <w:t>e</w:t>
      </w:r>
      <w:r>
        <w:t xml:space="preserve"> o europe</w:t>
      </w:r>
      <w:r w:rsidR="00F32EAB">
        <w:t>a</w:t>
      </w:r>
      <w:r w:rsidR="00724042">
        <w:t>.</w:t>
      </w:r>
    </w:p>
    <w:p w14:paraId="76F73139" w14:textId="4C90CD52" w:rsidR="00EF1372" w:rsidRDefault="00EF1372" w:rsidP="00EF1372">
      <w:pPr>
        <w:jc w:val="both"/>
      </w:pPr>
      <w:r w:rsidRPr="00EF1372">
        <w:rPr>
          <w:b/>
        </w:rPr>
        <w:t>A chi si rivolge.</w:t>
      </w:r>
      <w:r>
        <w:t xml:space="preserve"> Il documento è destinato in primo luogo ai referenti regionali coinvolti nell</w:t>
      </w:r>
      <w:r w:rsidR="004B1F6F">
        <w:t xml:space="preserve">’attuazione </w:t>
      </w:r>
      <w:r>
        <w:t xml:space="preserve">di </w:t>
      </w:r>
      <w:r w:rsidR="004B1F6F">
        <w:t>regimi di aiuto</w:t>
      </w:r>
      <w:r w:rsidR="00F32EAB">
        <w:t xml:space="preserve">. </w:t>
      </w:r>
      <w:proofErr w:type="gramStart"/>
      <w:r w:rsidR="00F32EAB">
        <w:t>E</w:t>
      </w:r>
      <w:r w:rsidR="00724042">
        <w:t>’</w:t>
      </w:r>
      <w:proofErr w:type="gramEnd"/>
      <w:r w:rsidR="00F32EAB">
        <w:t xml:space="preserve"> </w:t>
      </w:r>
      <w:r>
        <w:t xml:space="preserve">redatto in modo da poter costituire anche una base informativa di primo orientamento per i soggetti concedenti che si interfacciano con </w:t>
      </w:r>
      <w:r w:rsidR="00F047EC">
        <w:t>i</w:t>
      </w:r>
      <w:r>
        <w:t xml:space="preserve"> progetti localizzati nelle aree ZES marchigiane.</w:t>
      </w:r>
    </w:p>
    <w:p w14:paraId="04285837" w14:textId="10C05FCD" w:rsidR="00EF1372" w:rsidRDefault="00EF1372" w:rsidP="00EF1372">
      <w:pPr>
        <w:jc w:val="both"/>
      </w:pPr>
      <w:r w:rsidRPr="00EF1372">
        <w:rPr>
          <w:b/>
        </w:rPr>
        <w:t>A cosa serve.</w:t>
      </w:r>
      <w:r>
        <w:t xml:space="preserve"> Lo scopo è </w:t>
      </w:r>
      <w:r w:rsidR="00F047EC">
        <w:t xml:space="preserve">quello di </w:t>
      </w:r>
      <w:r>
        <w:t>offrire:</w:t>
      </w:r>
    </w:p>
    <w:p w14:paraId="1ACCD6E0" w14:textId="5E14A00D" w:rsidR="00EF1372" w:rsidRDefault="00EF1372" w:rsidP="00D052DD">
      <w:pPr>
        <w:pStyle w:val="Paragrafoelenco"/>
        <w:numPr>
          <w:ilvl w:val="0"/>
          <w:numId w:val="14"/>
        </w:numPr>
        <w:jc w:val="both"/>
      </w:pPr>
      <w:r>
        <w:t xml:space="preserve">un </w:t>
      </w:r>
      <w:r w:rsidR="00F047EC">
        <w:t xml:space="preserve">chiarimento </w:t>
      </w:r>
      <w:r>
        <w:t>sintetico ma completo dell'istituto ZES e degli strumenti agevolativi ad esso collegati, con i relativi riferimenti normativi;</w:t>
      </w:r>
    </w:p>
    <w:p w14:paraId="3F5C1F40" w14:textId="24D4D89E" w:rsidR="00EF1372" w:rsidRDefault="00EF1372" w:rsidP="00D052DD">
      <w:pPr>
        <w:pStyle w:val="Paragrafoelenco"/>
        <w:numPr>
          <w:ilvl w:val="0"/>
          <w:numId w:val="14"/>
        </w:numPr>
        <w:jc w:val="both"/>
      </w:pPr>
      <w:r>
        <w:t>una guida operativa alle regole di cumulo previste dal diritto UE, con particolare attenzione al caso, ricorrente nella prassi istruttoria, in cui più soggetti concedenti finanzino lo stesso progetto di investimento;</w:t>
      </w:r>
    </w:p>
    <w:p w14:paraId="2F3B18D1" w14:textId="77777777" w:rsidR="00AE7F5E" w:rsidRDefault="00AE7F5E" w:rsidP="004210ED">
      <w:pPr>
        <w:jc w:val="both"/>
      </w:pPr>
    </w:p>
    <w:p w14:paraId="0933D276" w14:textId="00773388" w:rsidR="004210ED" w:rsidRPr="00EB2808" w:rsidRDefault="00742ECB" w:rsidP="00787CFA">
      <w:pPr>
        <w:pStyle w:val="Paragrafoelenco"/>
        <w:numPr>
          <w:ilvl w:val="0"/>
          <w:numId w:val="1"/>
        </w:numPr>
        <w:ind w:left="567" w:hanging="567"/>
        <w:jc w:val="both"/>
        <w:rPr>
          <w:b/>
        </w:rPr>
      </w:pPr>
      <w:r>
        <w:rPr>
          <w:b/>
        </w:rPr>
        <w:t xml:space="preserve">INQUADRAMENTO ISTITUZIONALE E NORMATIVO </w:t>
      </w:r>
    </w:p>
    <w:p w14:paraId="12B65CA2" w14:textId="77777777" w:rsidR="009A619A" w:rsidRDefault="009A619A" w:rsidP="009A619A">
      <w:pPr>
        <w:jc w:val="both"/>
      </w:pPr>
      <w:r>
        <w:t xml:space="preserve">Il decreto-legge 19 settembre 2023, n. 124 (c.d. “Decreto Sud”), convertito con modificazioni dalla legge 13 novembre 2023, n. 162, ha istituito, a decorrere dal 1º gennaio 2024, la Zona economica speciale per il Mezzogiorno – ZES unica, superando il precedente modello delle otto ZES regionali autonome (ciascuna con propria </w:t>
      </w:r>
      <w:proofErr w:type="spellStart"/>
      <w:r>
        <w:t>governance</w:t>
      </w:r>
      <w:proofErr w:type="spellEnd"/>
      <w:r>
        <w:t xml:space="preserve">, Piano di sviluppo strategico e Comitato di indirizzo) in favore di una </w:t>
      </w:r>
      <w:proofErr w:type="spellStart"/>
      <w:r>
        <w:t>governance</w:t>
      </w:r>
      <w:proofErr w:type="spellEnd"/>
      <w:r>
        <w:t xml:space="preserve"> unitaria, incentrata sulla Cabina di regia ZES istituita presso la Presidenza del Consiglio dei Ministri e sulla Struttura di missione ZES.</w:t>
      </w:r>
    </w:p>
    <w:p w14:paraId="241DA5C0" w14:textId="58171251" w:rsidR="00BB0F7D" w:rsidRDefault="009A619A" w:rsidP="009A619A">
      <w:pPr>
        <w:jc w:val="both"/>
      </w:pPr>
      <w:r>
        <w:t>Il principale strumento agevolativo collegato alla ZES unica è il credito d'imposta per gli investimenti in beni strumentali (art. 16 del D.L. 124/2023 e successive modificazioni), riconosciuto alle imprese, indipendentemente dalla forma giuridica e dal regime contabile, che acquisiscono beni strumentali nuovi destinati a strutture produttive già esistenti o di nuovo impianto ubicate nelle zone assistite ricomprese nella ZES.</w:t>
      </w:r>
    </w:p>
    <w:p w14:paraId="003C046B" w14:textId="3D744832" w:rsidR="003F5626" w:rsidRDefault="009A619A" w:rsidP="009A619A">
      <w:pPr>
        <w:jc w:val="both"/>
      </w:pPr>
      <w:r w:rsidRPr="008E1A5A">
        <w:t xml:space="preserve">La legge </w:t>
      </w:r>
      <w:r w:rsidR="00232A69" w:rsidRPr="008E1A5A">
        <w:t>18 novembre 2025 n. 171</w:t>
      </w:r>
      <w:r>
        <w:t>, ha esteso l'ambito soggettivo di applicazione della ZES unica alle regioni Marche e Umbria</w:t>
      </w:r>
      <w:r w:rsidR="00231390">
        <w:t xml:space="preserve">. </w:t>
      </w:r>
    </w:p>
    <w:p w14:paraId="328E379E" w14:textId="7B5B5A7D" w:rsidR="003F5626" w:rsidRPr="00B82250" w:rsidRDefault="00487962" w:rsidP="009A619A">
      <w:pPr>
        <w:jc w:val="both"/>
        <w:rPr>
          <w:b/>
        </w:rPr>
      </w:pPr>
      <w:r>
        <w:rPr>
          <w:b/>
        </w:rPr>
        <w:t xml:space="preserve">1.2 </w:t>
      </w:r>
      <w:r w:rsidR="00B82250" w:rsidRPr="00B82250">
        <w:rPr>
          <w:b/>
        </w:rPr>
        <w:t>DUE PERIMETRI TERRITORIALI DISTINTI: SEMPLIFICAZIONE AMMINISTRATIVA</w:t>
      </w:r>
      <w:r w:rsidR="00B82250">
        <w:rPr>
          <w:b/>
        </w:rPr>
        <w:t xml:space="preserve">, </w:t>
      </w:r>
      <w:r w:rsidR="00B82250" w:rsidRPr="00B82250">
        <w:rPr>
          <w:b/>
        </w:rPr>
        <w:t>SGRAVI FISCALI</w:t>
      </w:r>
      <w:r w:rsidR="00B82250">
        <w:rPr>
          <w:b/>
        </w:rPr>
        <w:t>, BONUS OCCUPAZIONALI</w:t>
      </w:r>
    </w:p>
    <w:p w14:paraId="05B6E726" w14:textId="77777777" w:rsidR="00B82250" w:rsidRDefault="00B82250" w:rsidP="00B82250">
      <w:pPr>
        <w:jc w:val="both"/>
      </w:pPr>
      <w:r>
        <w:t xml:space="preserve">Un aspetto spesso frainteso nella prassi applicativa, ma dirimente ai fini istruttori, è che la ZES unica </w:t>
      </w:r>
      <w:r w:rsidRPr="00F047EC">
        <w:rPr>
          <w:b/>
        </w:rPr>
        <w:t>non</w:t>
      </w:r>
      <w:r>
        <w:t xml:space="preserve"> opera secondo un perimetro territoriale unico, </w:t>
      </w:r>
      <w:r w:rsidRPr="00F047EC">
        <w:rPr>
          <w:b/>
        </w:rPr>
        <w:t>bensì secondo due perimetri distinti</w:t>
      </w:r>
      <w:r>
        <w:t>, a seconda dello strumento considerato:</w:t>
      </w:r>
    </w:p>
    <w:p w14:paraId="54CE51DA" w14:textId="77777777" w:rsidR="00B82250" w:rsidRDefault="00B82250" w:rsidP="00B82250">
      <w:pPr>
        <w:jc w:val="both"/>
      </w:pPr>
      <w:r>
        <w:t>•</w:t>
      </w:r>
      <w:r>
        <w:tab/>
      </w:r>
      <w:r w:rsidRPr="00E23FE4">
        <w:rPr>
          <w:b/>
        </w:rPr>
        <w:t>la semplificazione amministrativa</w:t>
      </w:r>
      <w:r>
        <w:t xml:space="preserve"> (autorizzazione unica, sportello unico digitale, silenzio-assenso rafforzato) si applica </w:t>
      </w:r>
      <w:r w:rsidRPr="00F047EC">
        <w:rPr>
          <w:b/>
        </w:rPr>
        <w:t>all'intero territorio regionale</w:t>
      </w:r>
      <w:r>
        <w:t xml:space="preserve">, senza il vincolo della mappatura puntuale nella Carta </w:t>
      </w:r>
      <w:r>
        <w:lastRenderedPageBreak/>
        <w:t>degli aiuti; è sufficiente che il progetto di investimento ricada nell'ambito soggettivo e oggettivo della ZES unica;</w:t>
      </w:r>
    </w:p>
    <w:p w14:paraId="0A27091E" w14:textId="77777777" w:rsidR="00B82250" w:rsidRDefault="00B82250" w:rsidP="00B82250">
      <w:pPr>
        <w:jc w:val="both"/>
      </w:pPr>
      <w:r>
        <w:t>•</w:t>
      </w:r>
      <w:r>
        <w:tab/>
      </w:r>
      <w:r w:rsidRPr="00E23FE4">
        <w:rPr>
          <w:b/>
        </w:rPr>
        <w:t>gli sgravi fiscali</w:t>
      </w:r>
      <w:r>
        <w:t xml:space="preserve"> (il credito d'imposta di cui all'art. 16 D.L. 124/2023, inquadrato ai sensi dell'art. 14 del GBER) si applicano </w:t>
      </w:r>
      <w:r w:rsidRPr="00F047EC">
        <w:rPr>
          <w:b/>
        </w:rPr>
        <w:t>esclusivamente se l'investimento è realizzato nei Comuni mappati</w:t>
      </w:r>
      <w:r>
        <w:t xml:space="preserve"> come zone assistite ammissibili alla deroga dell'art. 107, par. 3, lett. c) del TFUE, secondo la Carta degli aiuti a finalità regionale 2022-2027;</w:t>
      </w:r>
    </w:p>
    <w:p w14:paraId="16956D1D" w14:textId="77777777" w:rsidR="00B82250" w:rsidRDefault="00B82250" w:rsidP="00B82250">
      <w:pPr>
        <w:jc w:val="both"/>
      </w:pPr>
      <w:r>
        <w:t>•</w:t>
      </w:r>
      <w:r>
        <w:tab/>
        <w:t xml:space="preserve">anche </w:t>
      </w:r>
      <w:r w:rsidRPr="00E23FE4">
        <w:rPr>
          <w:b/>
        </w:rPr>
        <w:t>i bonus occupazionali</w:t>
      </w:r>
      <w:r>
        <w:t xml:space="preserve"> collegati alla ZES (decontribuzioni e incentivi all'assunzione previsti dalla normativa ZES) si applicano, analogamente alla semplificazione, </w:t>
      </w:r>
      <w:r w:rsidRPr="00F047EC">
        <w:rPr>
          <w:b/>
        </w:rPr>
        <w:t>all'intero territorio regionale</w:t>
      </w:r>
      <w:r>
        <w:t>, non essendo condizionati alla localizzazione nelle sole zone mappate 107.3.c.</w:t>
      </w:r>
    </w:p>
    <w:p w14:paraId="7D87A143" w14:textId="2E744789" w:rsidR="00B82250" w:rsidRDefault="00B82250" w:rsidP="00B82250">
      <w:pPr>
        <w:jc w:val="both"/>
      </w:pPr>
      <w:r>
        <w:t xml:space="preserve">Ne consegue che la principale virtuosità pratica dello strumento ZES per il sistema economico regionale nel suo complesso risiede proprio nella semplificazione amministrativa del procedimento autorizzatorio, che è fruibile da qualunque impresa </w:t>
      </w:r>
      <w:r w:rsidR="009A26AD">
        <w:t xml:space="preserve">che intenda </w:t>
      </w:r>
      <w:r>
        <w:t>localizza</w:t>
      </w:r>
      <w:r w:rsidR="009A26AD">
        <w:t>rsi</w:t>
      </w:r>
      <w:r>
        <w:t xml:space="preserve"> </w:t>
      </w:r>
      <w:r w:rsidR="009A26AD">
        <w:t>nel territorio regionale</w:t>
      </w:r>
      <w:r>
        <w:t>, a prescindere dalla collocazione in area mappata; mentre il beneficio fiscale in senso stretto – quello economicamente più significativo per il singolo progetto – resta selettivo e circoscritto ai soli Comuni individuati dalla Carta degli aiuti.</w:t>
      </w:r>
    </w:p>
    <w:tbl>
      <w:tblPr>
        <w:tblW w:w="5000" w:type="pct"/>
        <w:tblBorders>
          <w:top w:val="single" w:sz="4" w:space="0" w:color="2E5395"/>
          <w:left w:val="single" w:sz="4" w:space="0" w:color="2E5395"/>
          <w:bottom w:val="single" w:sz="4" w:space="0" w:color="2E5395"/>
          <w:right w:val="single" w:sz="4" w:space="0" w:color="2E5395"/>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28"/>
      </w:tblGrid>
      <w:tr w:rsidR="00B82250" w14:paraId="715A7A7B" w14:textId="77777777" w:rsidTr="00A477A8">
        <w:tc>
          <w:tcPr>
            <w:tcW w:w="0" w:type="auto"/>
            <w:shd w:val="clear" w:color="auto" w:fill="F2F2F2"/>
            <w:tcMar>
              <w:top w:w="160" w:type="dxa"/>
              <w:left w:w="200" w:type="dxa"/>
              <w:bottom w:w="160" w:type="dxa"/>
              <w:right w:w="200" w:type="dxa"/>
            </w:tcMar>
          </w:tcPr>
          <w:p w14:paraId="334E059C" w14:textId="77777777" w:rsidR="00B82250" w:rsidRDefault="00B82250" w:rsidP="00A477A8">
            <w:pPr>
              <w:spacing w:after="60"/>
            </w:pPr>
            <w:r>
              <w:rPr>
                <w:b/>
                <w:bCs/>
                <w:color w:val="1F3864"/>
                <w:sz w:val="20"/>
                <w:szCs w:val="20"/>
              </w:rPr>
              <w:t>Punto di attenzione</w:t>
            </w:r>
          </w:p>
          <w:p w14:paraId="5339F435" w14:textId="2D54F93B" w:rsidR="00B82250" w:rsidRDefault="00B82250" w:rsidP="00A477A8">
            <w:pPr>
              <w:spacing w:line="280" w:lineRule="auto"/>
              <w:jc w:val="both"/>
            </w:pPr>
            <w:r>
              <w:rPr>
                <w:color w:val="333333"/>
                <w:sz w:val="20"/>
                <w:szCs w:val="20"/>
              </w:rPr>
              <w:t xml:space="preserve">Nell'attività istruttoria </w:t>
            </w:r>
            <w:r w:rsidR="00983233">
              <w:rPr>
                <w:color w:val="333333"/>
                <w:sz w:val="20"/>
                <w:szCs w:val="20"/>
              </w:rPr>
              <w:t xml:space="preserve">del responsabile del procedimento dell’avviso regionale </w:t>
            </w:r>
            <w:r>
              <w:rPr>
                <w:color w:val="333333"/>
                <w:sz w:val="20"/>
                <w:szCs w:val="20"/>
              </w:rPr>
              <w:t xml:space="preserve">è quindi necessario </w:t>
            </w:r>
            <w:proofErr w:type="gramStart"/>
            <w:r w:rsidR="00983233">
              <w:rPr>
                <w:color w:val="333333"/>
                <w:sz w:val="20"/>
                <w:szCs w:val="20"/>
              </w:rPr>
              <w:t xml:space="preserve">chiarire </w:t>
            </w:r>
            <w:r>
              <w:rPr>
                <w:color w:val="333333"/>
                <w:sz w:val="20"/>
                <w:szCs w:val="20"/>
              </w:rPr>
              <w:t xml:space="preserve"> sempre</w:t>
            </w:r>
            <w:proofErr w:type="gramEnd"/>
            <w:r>
              <w:rPr>
                <w:color w:val="333333"/>
                <w:sz w:val="20"/>
                <w:szCs w:val="20"/>
              </w:rPr>
              <w:t>, sin dalla prima interlocuzione con l'impresa, tra la richiesta di accesso alle procedure semplificate ZES (verificabile su base regionale) e</w:t>
            </w:r>
            <w:r w:rsidR="00983233">
              <w:rPr>
                <w:color w:val="333333"/>
                <w:sz w:val="20"/>
                <w:szCs w:val="20"/>
              </w:rPr>
              <w:t>/o</w:t>
            </w:r>
            <w:r>
              <w:rPr>
                <w:color w:val="333333"/>
                <w:sz w:val="20"/>
                <w:szCs w:val="20"/>
              </w:rPr>
              <w:t xml:space="preserve"> la richiesta del credito d'imposta ZES</w:t>
            </w:r>
            <w:r w:rsidR="00983233">
              <w:rPr>
                <w:color w:val="333333"/>
                <w:sz w:val="20"/>
                <w:szCs w:val="20"/>
              </w:rPr>
              <w:t>.</w:t>
            </w:r>
          </w:p>
        </w:tc>
      </w:tr>
    </w:tbl>
    <w:p w14:paraId="556CDD92" w14:textId="77777777" w:rsidR="00B82250" w:rsidRDefault="00B82250" w:rsidP="00B82250">
      <w:pPr>
        <w:jc w:val="both"/>
      </w:pPr>
    </w:p>
    <w:p w14:paraId="7CA52458" w14:textId="26D242FC" w:rsidR="00487962" w:rsidRDefault="00487962" w:rsidP="00487962">
      <w:pPr>
        <w:jc w:val="both"/>
        <w:rPr>
          <w:b/>
        </w:rPr>
      </w:pPr>
      <w:r w:rsidRPr="00487962">
        <w:rPr>
          <w:b/>
        </w:rPr>
        <w:t xml:space="preserve">1.3 </w:t>
      </w:r>
      <w:r>
        <w:rPr>
          <w:b/>
        </w:rPr>
        <w:t xml:space="preserve">GOVERNANCE NAZIONALE E </w:t>
      </w:r>
      <w:r w:rsidRPr="00487962">
        <w:rPr>
          <w:b/>
        </w:rPr>
        <w:t>IL COORDINAMENTO REGIONALE: IL GRUPPO DI LAVORO ZES</w:t>
      </w:r>
    </w:p>
    <w:p w14:paraId="6B609463" w14:textId="47C06FE2" w:rsidR="00487962" w:rsidRPr="009A26AD" w:rsidRDefault="00E7139B" w:rsidP="00487962">
      <w:pPr>
        <w:jc w:val="both"/>
        <w:rPr>
          <w:u w:val="single"/>
        </w:rPr>
      </w:pPr>
      <w:r w:rsidRPr="00C62878">
        <w:t xml:space="preserve">La </w:t>
      </w:r>
      <w:proofErr w:type="spellStart"/>
      <w:r w:rsidRPr="00C62878">
        <w:t>governance</w:t>
      </w:r>
      <w:proofErr w:type="spellEnd"/>
      <w:r w:rsidRPr="00C62878">
        <w:t xml:space="preserve"> della ZES Unica è centralizzata: la gestione e il coordinamento degli interventi sono affidati allo Stat</w:t>
      </w:r>
      <w:r w:rsidR="006D02CB">
        <w:t>o</w:t>
      </w:r>
      <w:r w:rsidRPr="00C62878">
        <w:t xml:space="preserve">, tramite il Commissario Straordinario, nell’ambito della Struttura di missione ZES. La Semplificazione amministrativa e le agevolazioni attualmente disponibili, riconducibili allo strumento </w:t>
      </w:r>
      <w:proofErr w:type="spellStart"/>
      <w:r w:rsidRPr="00C62878">
        <w:t>Zes</w:t>
      </w:r>
      <w:proofErr w:type="spellEnd"/>
      <w:r w:rsidRPr="00C62878">
        <w:t>, sono gestite direttamente dallo Stato per il tramite</w:t>
      </w:r>
      <w:r w:rsidR="009A26AD">
        <w:t xml:space="preserve">, rispettivamente, della Struttura di Missione </w:t>
      </w:r>
      <w:proofErr w:type="spellStart"/>
      <w:r w:rsidR="009A26AD">
        <w:t>Zes</w:t>
      </w:r>
      <w:proofErr w:type="spellEnd"/>
      <w:r w:rsidR="009A26AD">
        <w:t>,</w:t>
      </w:r>
      <w:r w:rsidRPr="00C62878">
        <w:t xml:space="preserve"> dell’Agenzia delle Entrate e dell’INPS. </w:t>
      </w:r>
      <w:r w:rsidR="00915365" w:rsidRPr="009A26AD">
        <w:rPr>
          <w:u w:val="single"/>
        </w:rPr>
        <w:t>Le Regioni non hanno potere decisorio ma semplicemente partecipativo</w:t>
      </w:r>
      <w:r w:rsidR="00C62878" w:rsidRPr="009A26AD">
        <w:rPr>
          <w:u w:val="single"/>
        </w:rPr>
        <w:t xml:space="preserve"> </w:t>
      </w:r>
      <w:r w:rsidR="00915365" w:rsidRPr="009A26AD">
        <w:rPr>
          <w:u w:val="single"/>
        </w:rPr>
        <w:t xml:space="preserve">e di supporto tecnico alla Struttura di missione ZES. </w:t>
      </w:r>
      <w:r w:rsidR="00487962" w:rsidRPr="009A26AD">
        <w:rPr>
          <w:u w:val="single"/>
        </w:rPr>
        <w:t xml:space="preserve"> </w:t>
      </w:r>
    </w:p>
    <w:p w14:paraId="43BE305B" w14:textId="0088DF1B" w:rsidR="00A80666" w:rsidRDefault="00C62878" w:rsidP="00A80666">
      <w:pPr>
        <w:jc w:val="both"/>
      </w:pPr>
      <w:r>
        <w:t>La Regione Marche</w:t>
      </w:r>
      <w:r w:rsidR="00487962">
        <w:t xml:space="preserve">, </w:t>
      </w:r>
      <w:r>
        <w:t xml:space="preserve">con </w:t>
      </w:r>
      <w:r w:rsidR="00487962">
        <w:t xml:space="preserve">il Decreto del Segretario Generale n. 5/2026 ha istituito un gruppo di lavoro dedicato alla ZES, con funzioni di supporto giuridico e di coordinamento interno rispetto alle diverse strutture regionali coinvolte (programmazione, aiuti di Stato, sviluppo economico), nonché di raccordo con la Struttura di missione ZES a livello nazionale. </w:t>
      </w:r>
      <w:r w:rsidR="00E23FE4">
        <w:t>Nell’ambito di tale gruppo di lavoro, i</w:t>
      </w:r>
      <w:r w:rsidR="00487962">
        <w:t xml:space="preserve">l Settore Programmazione delle Risorse Nazionali e Aiuti di Stato fornisce il supporto tecnico-giuridico sulla compatibilità degli strumenti agevolativi regionali e statali con la </w:t>
      </w:r>
      <w:r w:rsidR="00D76DF5">
        <w:t xml:space="preserve">disciplina europea </w:t>
      </w:r>
      <w:r w:rsidR="00EE2F01">
        <w:t>in materia di aiuti di stato.</w:t>
      </w:r>
    </w:p>
    <w:p w14:paraId="6A0DC747" w14:textId="42E72692" w:rsidR="00E259D7" w:rsidRPr="00E259D7" w:rsidRDefault="00A80666" w:rsidP="00E259D7">
      <w:pPr>
        <w:jc w:val="both"/>
        <w:rPr>
          <w:b/>
        </w:rPr>
      </w:pPr>
      <w:r w:rsidRPr="00A80666">
        <w:rPr>
          <w:b/>
        </w:rPr>
        <w:t>2.1</w:t>
      </w:r>
      <w:r w:rsidR="00E259D7" w:rsidRPr="00E259D7">
        <w:rPr>
          <w:b/>
        </w:rPr>
        <w:tab/>
      </w:r>
      <w:r w:rsidR="00E259D7">
        <w:rPr>
          <w:b/>
        </w:rPr>
        <w:t xml:space="preserve">LA </w:t>
      </w:r>
      <w:r w:rsidR="00E259D7" w:rsidRPr="00E259D7">
        <w:rPr>
          <w:b/>
        </w:rPr>
        <w:t>SEMPLIFICAZION</w:t>
      </w:r>
      <w:r w:rsidR="00E259D7">
        <w:rPr>
          <w:b/>
        </w:rPr>
        <w:t>E</w:t>
      </w:r>
      <w:r w:rsidR="00E259D7" w:rsidRPr="00E259D7">
        <w:rPr>
          <w:b/>
        </w:rPr>
        <w:t xml:space="preserve"> </w:t>
      </w:r>
      <w:r w:rsidR="00E259D7">
        <w:rPr>
          <w:b/>
        </w:rPr>
        <w:t>AMMINISTRATIVA</w:t>
      </w:r>
      <w:r w:rsidR="00E259D7" w:rsidRPr="00E259D7">
        <w:rPr>
          <w:b/>
        </w:rPr>
        <w:t xml:space="preserve"> CONNESS</w:t>
      </w:r>
      <w:r w:rsidR="00E259D7">
        <w:rPr>
          <w:b/>
        </w:rPr>
        <w:t>A</w:t>
      </w:r>
      <w:r w:rsidR="00E259D7" w:rsidRPr="00E259D7">
        <w:rPr>
          <w:b/>
        </w:rPr>
        <w:t xml:space="preserve"> ALLA ZES</w:t>
      </w:r>
    </w:p>
    <w:p w14:paraId="79BB94E7" w14:textId="55B391C1" w:rsidR="00A80666" w:rsidRDefault="00E259D7" w:rsidP="00E259D7">
      <w:pPr>
        <w:jc w:val="both"/>
      </w:pPr>
      <w:r w:rsidRPr="00E259D7">
        <w:t>La ZES unica prevede un regime di semplificazione amministrativa (autorizzazione unica rilasciata dallo Sportello Unico Digitale ZES, silenzio-assenso rafforzato) che incide sui tempi di rilascio dei titoli abilitativi connessi all'investimento. Come illustrato al par. 1.</w:t>
      </w:r>
      <w:r w:rsidR="006D02CB">
        <w:t>2</w:t>
      </w:r>
      <w:r w:rsidRPr="00E259D7">
        <w:t>, tale semplificazione opera su tutto il territorio regionale, a differenza del credito d'imposta: non modifica pertanto la natura di aiuto di Stato di quest'ultimo né le relative regole di compatibilità e cumulo, che restano interamente governate dalla disciplina europea e circoscritte alle zone mappate.</w:t>
      </w:r>
      <w:r w:rsidR="00FE5CBA" w:rsidRPr="00FE5CBA">
        <w:t xml:space="preserve"> </w:t>
      </w:r>
      <w:r w:rsidR="006D02CB">
        <w:t>L</w:t>
      </w:r>
      <w:r w:rsidR="00FE5CBA">
        <w:t xml:space="preserve">ink per accedere allo strumento di semplificazione amministrativa </w:t>
      </w:r>
      <w:hyperlink r:id="rId11" w:history="1">
        <w:r w:rsidR="009674CA" w:rsidRPr="00AF6FBB">
          <w:rPr>
            <w:rStyle w:val="Collegamentoipertestuale"/>
          </w:rPr>
          <w:t>https://www.impresainungiorno.gov.it/web/l-impresa-e-la-pa-centrale/zes</w:t>
        </w:r>
      </w:hyperlink>
    </w:p>
    <w:p w14:paraId="0B4BCA67" w14:textId="77777777" w:rsidR="00FE5CBA" w:rsidRPr="00E259D7" w:rsidRDefault="00FE5CBA" w:rsidP="00E259D7">
      <w:pPr>
        <w:jc w:val="both"/>
        <w:rPr>
          <w:rFonts w:ascii="Calibri" w:eastAsia="Calibri" w:hAnsi="Calibri" w:cs="Calibri"/>
          <w:lang w:eastAsia="it-IT"/>
        </w:rPr>
      </w:pPr>
    </w:p>
    <w:p w14:paraId="40ED1FAC" w14:textId="77777777" w:rsidR="00E259D7" w:rsidRPr="00E259D7" w:rsidRDefault="00726993" w:rsidP="00E259D7">
      <w:pPr>
        <w:jc w:val="both"/>
        <w:rPr>
          <w:b/>
        </w:rPr>
      </w:pPr>
      <w:r w:rsidRPr="00726993">
        <w:rPr>
          <w:b/>
        </w:rPr>
        <w:t>2.</w:t>
      </w:r>
      <w:r w:rsidR="00AC0927">
        <w:rPr>
          <w:b/>
        </w:rPr>
        <w:t>2</w:t>
      </w:r>
      <w:r w:rsidRPr="00726993">
        <w:rPr>
          <w:b/>
        </w:rPr>
        <w:t xml:space="preserve"> </w:t>
      </w:r>
      <w:r w:rsidR="00E259D7" w:rsidRPr="00E259D7">
        <w:rPr>
          <w:b/>
        </w:rPr>
        <w:t xml:space="preserve">GLI STRUMENTI AGEVOLATIVI COLLEGATI ALLA ZES. </w:t>
      </w:r>
    </w:p>
    <w:p w14:paraId="63E4E8A4" w14:textId="4ABA0A37" w:rsidR="00E259D7" w:rsidRPr="00E259D7" w:rsidRDefault="00E259D7" w:rsidP="00E259D7">
      <w:pPr>
        <w:jc w:val="both"/>
        <w:rPr>
          <w:b/>
        </w:rPr>
      </w:pPr>
      <w:r w:rsidRPr="00E259D7">
        <w:rPr>
          <w:b/>
        </w:rPr>
        <w:t>2.</w:t>
      </w:r>
      <w:r>
        <w:rPr>
          <w:b/>
        </w:rPr>
        <w:t>2</w:t>
      </w:r>
      <w:r w:rsidRPr="00E259D7">
        <w:rPr>
          <w:b/>
        </w:rPr>
        <w:t>.1 IL CREDITO D'IMPOSTA ZES UNICA</w:t>
      </w:r>
    </w:p>
    <w:p w14:paraId="5FBDCFA4" w14:textId="77777777" w:rsidR="00E259D7" w:rsidRPr="00E259D7" w:rsidRDefault="00E259D7" w:rsidP="00E259D7">
      <w:pPr>
        <w:jc w:val="both"/>
      </w:pPr>
      <w:r w:rsidRPr="00E259D7">
        <w:rPr>
          <w:b/>
        </w:rPr>
        <w:t>•</w:t>
      </w:r>
      <w:r w:rsidRPr="00E259D7">
        <w:rPr>
          <w:b/>
        </w:rPr>
        <w:tab/>
      </w:r>
      <w:r w:rsidRPr="00E259D7">
        <w:t>Natura: credito d'imposta automatico, fruibile in compensazione tramite F24, non un contributo a bando.</w:t>
      </w:r>
    </w:p>
    <w:p w14:paraId="0FD3AE48" w14:textId="77777777" w:rsidR="00E259D7" w:rsidRPr="00E259D7" w:rsidRDefault="00E259D7" w:rsidP="00E259D7">
      <w:pPr>
        <w:jc w:val="both"/>
      </w:pPr>
      <w:r w:rsidRPr="00E259D7">
        <w:t>•</w:t>
      </w:r>
      <w:r w:rsidRPr="00E259D7">
        <w:tab/>
        <w:t>Beneficiari: imprese di qualunque forma giuridica e regime contabile, già operative o in fase di insediamento, con esclusione dei settori siderurgico, carbonifero, dei trasporti (salvo magazzinaggio e supporto ai trasporti), energetico, bancario, finanziario e assicurativo, e delle imprese in difficoltà o in liquidazione/scioglimento.</w:t>
      </w:r>
    </w:p>
    <w:p w14:paraId="46D1C29E" w14:textId="77777777" w:rsidR="00E259D7" w:rsidRPr="00E259D7" w:rsidRDefault="00E259D7" w:rsidP="00E259D7">
      <w:pPr>
        <w:jc w:val="both"/>
      </w:pPr>
      <w:r w:rsidRPr="00E259D7">
        <w:t>•</w:t>
      </w:r>
      <w:r w:rsidRPr="00E259D7">
        <w:tab/>
        <w:t>Investimenti ammissibili: acquisizione di beni strumentali nuovi (macchinari, impianti, attrezzature, immobili strumentali) nell'ambito di un progetto di investimento iniziale, per importi generalmente compresi tra 200.000 euro e 100 milioni di euro per progetto.</w:t>
      </w:r>
    </w:p>
    <w:p w14:paraId="782405A8" w14:textId="77777777" w:rsidR="00E259D7" w:rsidRPr="00E259D7" w:rsidRDefault="00E259D7" w:rsidP="00E259D7">
      <w:pPr>
        <w:jc w:val="both"/>
      </w:pPr>
      <w:r w:rsidRPr="00E259D7">
        <w:t>•</w:t>
      </w:r>
      <w:r w:rsidRPr="00E259D7">
        <w:tab/>
        <w:t>Periodo agevolabile 2026: investimenti realizzati dal 1º gennaio al 31 dicembre 2026, con misura prorogata dalla legge di Bilancio 2026 fino al 2028.</w:t>
      </w:r>
    </w:p>
    <w:p w14:paraId="18F9EB34" w14:textId="77777777" w:rsidR="00E259D7" w:rsidRPr="00E259D7" w:rsidRDefault="00E259D7" w:rsidP="00E259D7">
      <w:pPr>
        <w:jc w:val="both"/>
      </w:pPr>
      <w:r w:rsidRPr="00E259D7">
        <w:t>•</w:t>
      </w:r>
      <w:r w:rsidRPr="00E259D7">
        <w:tab/>
        <w:t>Intensità di aiuto: il credito è riconosciuto nella misura massima consentita dalla Carta degli aiuti a finalità regionale 2022-2027, differenziata per Comune/area e per dimensione d'impresa (le PMI beneficiano di maggiorazioni rispetto alla grande impresa).</w:t>
      </w:r>
    </w:p>
    <w:p w14:paraId="46C0F664" w14:textId="58391F03" w:rsidR="00E259D7" w:rsidRDefault="00E259D7" w:rsidP="00E259D7">
      <w:pPr>
        <w:jc w:val="both"/>
      </w:pPr>
      <w:r w:rsidRPr="00E259D7">
        <w:t>•</w:t>
      </w:r>
      <w:r w:rsidRPr="00E259D7">
        <w:tab/>
        <w:t>Procedura: comunicazione all'Agenzia delle Entrate nella finestra temporale annualmente definita, con eventuale successiva rideterminazione percentuale del credito effettivamente fruibile in caso di incapienza del plafond stanziato.</w:t>
      </w:r>
      <w:r w:rsidR="009674CA" w:rsidRPr="009674CA">
        <w:t xml:space="preserve"> </w:t>
      </w:r>
      <w:r w:rsidR="009674CA">
        <w:t>Link pe</w:t>
      </w:r>
      <w:r w:rsidR="00A6411D">
        <w:t xml:space="preserve">r accedere allo strumento </w:t>
      </w:r>
      <w:hyperlink r:id="rId12" w:history="1">
        <w:r w:rsidR="00A6411D" w:rsidRPr="00AF6FBB">
          <w:rPr>
            <w:rStyle w:val="Collegamentoipertestuale"/>
          </w:rPr>
          <w:t>https://www.agenziaentrate.gov.it/portale/credito-d-imposta-per-investimenti-nella-zes-unica-zes-2026-/che-cos-imprese</w:t>
        </w:r>
      </w:hyperlink>
    </w:p>
    <w:p w14:paraId="02FB2D31" w14:textId="77777777" w:rsidR="00A6411D" w:rsidRPr="00E259D7" w:rsidRDefault="00A6411D" w:rsidP="00E259D7">
      <w:pPr>
        <w:jc w:val="both"/>
      </w:pPr>
    </w:p>
    <w:p w14:paraId="73B9459F" w14:textId="5D40C57E" w:rsidR="00E259D7" w:rsidRPr="00E259D7" w:rsidRDefault="00E259D7" w:rsidP="00E259D7">
      <w:pPr>
        <w:jc w:val="both"/>
      </w:pPr>
      <w:r w:rsidRPr="00E259D7">
        <w:t>Le intensità massime di aiuto per Marche</w:t>
      </w:r>
    </w:p>
    <w:p w14:paraId="25B0E929" w14:textId="77777777" w:rsidR="00E259D7" w:rsidRPr="00E259D7" w:rsidRDefault="00E259D7" w:rsidP="00E259D7">
      <w:pPr>
        <w:jc w:val="both"/>
      </w:pPr>
      <w:r w:rsidRPr="00E259D7">
        <w:t>Per i Comuni marchigiani ricompresi nelle zone assistite ammissibili alla deroga dell'art. 107, par. 3, lett. c) del TFUE, l'art. 14 del GBER e la Carta degli aiuti a finalità regionale 2022-2027 fissano le seguenti intensità massime teoriche di aiuto, in percentuale dei costi ammissibili, differenziate per dimensione d'impresa:</w:t>
      </w:r>
    </w:p>
    <w:p w14:paraId="0EEDA23D" w14:textId="1377D58F" w:rsidR="00E259D7" w:rsidRPr="00E259D7" w:rsidRDefault="00E259D7" w:rsidP="00E259D7">
      <w:pPr>
        <w:jc w:val="both"/>
      </w:pPr>
      <w:r w:rsidRPr="00E259D7">
        <w:t xml:space="preserve"> </w:t>
      </w:r>
      <w:r w:rsidR="0057109C" w:rsidRPr="0057109C">
        <w:rPr>
          <w:noProof/>
        </w:rPr>
        <w:drawing>
          <wp:inline distT="0" distB="0" distL="0" distR="0" wp14:anchorId="50131503" wp14:editId="218517E9">
            <wp:extent cx="5760720" cy="135636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0720" cy="1356360"/>
                    </a:xfrm>
                    <a:prstGeom prst="rect">
                      <a:avLst/>
                    </a:prstGeom>
                    <a:noFill/>
                    <a:ln>
                      <a:noFill/>
                    </a:ln>
                  </pic:spPr>
                </pic:pic>
              </a:graphicData>
            </a:graphic>
          </wp:inline>
        </w:drawing>
      </w:r>
      <w:r w:rsidR="00A7142A">
        <w:rPr>
          <w:rStyle w:val="Rimandonotaapidipagina"/>
        </w:rPr>
        <w:footnoteReference w:id="1"/>
      </w:r>
    </w:p>
    <w:p w14:paraId="54459D2A" w14:textId="35358EF9" w:rsidR="00822411" w:rsidRDefault="00E259D7" w:rsidP="00822411">
      <w:pPr>
        <w:jc w:val="both"/>
      </w:pPr>
      <w:r w:rsidRPr="00E259D7">
        <w:t xml:space="preserve">Si tratta dell'intensità massima teorica, cioè del tetto previsto dalla disciplina europea per quel territorio e quella classe dimensionale d'impresa: </w:t>
      </w:r>
      <w:r w:rsidRPr="00CC3FD9">
        <w:rPr>
          <w:u w:val="single"/>
        </w:rPr>
        <w:t xml:space="preserve">essa non coincide necessariamente con il credito d'imposta </w:t>
      </w:r>
      <w:r w:rsidRPr="00CC3FD9">
        <w:rPr>
          <w:u w:val="single"/>
        </w:rPr>
        <w:lastRenderedPageBreak/>
        <w:t>effettivamente fruibile, che dipende dal rapporto tra le risorse stanziate a livello statale e l'ammontare complessivo delle comunicazioni presentate dalle imprese, come illustrato al par. 3.6.</w:t>
      </w:r>
      <w:r w:rsidRPr="00E259D7">
        <w:t xml:space="preserve"> </w:t>
      </w:r>
    </w:p>
    <w:p w14:paraId="62BABFC5" w14:textId="7F019483" w:rsidR="00FB41E0" w:rsidRDefault="00FB41E0" w:rsidP="00822411">
      <w:pPr>
        <w:jc w:val="both"/>
      </w:pPr>
      <w:r w:rsidRPr="00FB41E0">
        <w:t xml:space="preserve">Il credito d'imposta ZES è concesso nel rispetto delle condizioni previste dal Regolamento (UE) n. 651/2014 (Regolamento generale di esenzione per categoria – GBER), in particolare nella disposizione relativa agli aiuti a finalità regionale agli investimenti (art. 14 GBER), che ne condiziona l'applicazione alla localizzazione dell'investimento nelle zone ammesse alla deroga di cui all'art. 107, par. 3, </w:t>
      </w:r>
      <w:r w:rsidR="00AD4743">
        <w:t>lettera</w:t>
      </w:r>
      <w:r w:rsidRPr="00FB41E0">
        <w:t xml:space="preserve"> c) del TFUE, come individuate dalla Carta degli aiuti a finalità regionale. L'inquadramento nel GBER comporta l'assoggettamento a tutte le condizioni generali di compatibilità previste dal Regolamento, incluso l'effetto di incentivazione (la domanda di aiuto deve precedere l'avvio dei lavori) e, per l'appunto, le regole di cumulo di cui all'art. 8 GBER, oggetto della Sezione 3.</w:t>
      </w:r>
    </w:p>
    <w:p w14:paraId="3B6F69FC" w14:textId="160DC9BC" w:rsidR="00BB5DBF" w:rsidRPr="00BB5DBF" w:rsidRDefault="00D67485" w:rsidP="00967191">
      <w:pPr>
        <w:jc w:val="both"/>
        <w:rPr>
          <w:rFonts w:ascii="Calibri" w:eastAsia="Calibri" w:hAnsi="Calibri" w:cs="Calibri"/>
          <w:color w:val="2E74B5"/>
          <w:lang w:eastAsia="it-IT"/>
        </w:rPr>
      </w:pPr>
      <w:r w:rsidRPr="005436C7">
        <w:rPr>
          <w:b/>
        </w:rPr>
        <w:t xml:space="preserve"> </w:t>
      </w:r>
      <w:r w:rsidR="00967191">
        <w:rPr>
          <w:b/>
        </w:rPr>
        <w:t xml:space="preserve">2.1.2 </w:t>
      </w:r>
      <w:r w:rsidR="00BB5DBF" w:rsidRPr="00967191">
        <w:rPr>
          <w:b/>
        </w:rPr>
        <w:t>Il bonus occupazionale ZES</w:t>
      </w:r>
    </w:p>
    <w:p w14:paraId="3C41C648" w14:textId="77777777" w:rsidR="00BB5DBF" w:rsidRPr="00BB5DBF" w:rsidRDefault="00BB5DBF" w:rsidP="00BB5DBF">
      <w:pPr>
        <w:spacing w:line="300" w:lineRule="auto"/>
        <w:jc w:val="both"/>
        <w:rPr>
          <w:rFonts w:ascii="Calibri" w:eastAsia="Calibri" w:hAnsi="Calibri" w:cs="Calibri"/>
          <w:lang w:eastAsia="it-IT"/>
        </w:rPr>
      </w:pPr>
      <w:r w:rsidRPr="00BB5DBF">
        <w:rPr>
          <w:rFonts w:ascii="Calibri" w:eastAsia="Calibri" w:hAnsi="Calibri" w:cs="Calibri"/>
          <w:lang w:eastAsia="it-IT"/>
        </w:rPr>
        <w:t xml:space="preserve">Il secondo strumento agevolativo ad oggi disponibile nell'ambito della ZES unica, accanto al credito d'imposta per gli investimenti, è il </w:t>
      </w:r>
      <w:r w:rsidRPr="00BB5DBF">
        <w:rPr>
          <w:rFonts w:ascii="Calibri" w:eastAsia="Calibri" w:hAnsi="Calibri" w:cs="Calibri"/>
          <w:b/>
          <w:bCs/>
          <w:lang w:eastAsia="it-IT"/>
        </w:rPr>
        <w:t>Bonus ZES 2026</w:t>
      </w:r>
      <w:r w:rsidRPr="00BB5DBF">
        <w:rPr>
          <w:rFonts w:ascii="Calibri" w:eastAsia="Calibri" w:hAnsi="Calibri" w:cs="Calibri"/>
          <w:lang w:eastAsia="it-IT"/>
        </w:rPr>
        <w:t xml:space="preserve">, un </w:t>
      </w:r>
      <w:r w:rsidRPr="00BB5DBF">
        <w:rPr>
          <w:rFonts w:ascii="Calibri" w:eastAsia="Calibri" w:hAnsi="Calibri" w:cs="Calibri"/>
          <w:b/>
          <w:bCs/>
          <w:lang w:eastAsia="it-IT"/>
        </w:rPr>
        <w:t>esonero contributivo</w:t>
      </w:r>
      <w:r w:rsidRPr="00BB5DBF">
        <w:rPr>
          <w:rFonts w:ascii="Calibri" w:eastAsia="Calibri" w:hAnsi="Calibri" w:cs="Calibri"/>
          <w:lang w:eastAsia="it-IT"/>
        </w:rPr>
        <w:t xml:space="preserve"> introdotto dall'art. 2, comma 10, del decreto-legge 30 aprile 2026, n. 62 (c.d. “Decreto </w:t>
      </w:r>
      <w:proofErr w:type="gramStart"/>
      <w:r w:rsidRPr="00BB5DBF">
        <w:rPr>
          <w:rFonts w:ascii="Calibri" w:eastAsia="Calibri" w:hAnsi="Calibri" w:cs="Calibri"/>
          <w:lang w:eastAsia="it-IT"/>
        </w:rPr>
        <w:t>Lavoro”/</w:t>
      </w:r>
      <w:proofErr w:type="gramEnd"/>
      <w:r w:rsidRPr="00BB5DBF">
        <w:rPr>
          <w:rFonts w:ascii="Calibri" w:eastAsia="Calibri" w:hAnsi="Calibri" w:cs="Calibri"/>
          <w:lang w:eastAsia="it-IT"/>
        </w:rPr>
        <w:t>“Primo Maggio”), convertito con modificazioni dalla legge n. 112/2026.</w:t>
      </w:r>
    </w:p>
    <w:p w14:paraId="42609AE9" w14:textId="346E72B3" w:rsidR="00BB5DBF" w:rsidRPr="00BB5DBF" w:rsidRDefault="00BB5DBF" w:rsidP="00BB5DBF">
      <w:pPr>
        <w:spacing w:line="300" w:lineRule="auto"/>
        <w:jc w:val="both"/>
        <w:rPr>
          <w:rFonts w:ascii="Calibri" w:eastAsia="Calibri" w:hAnsi="Calibri" w:cs="Calibri"/>
          <w:lang w:eastAsia="it-IT"/>
        </w:rPr>
      </w:pPr>
      <w:r w:rsidRPr="00BB5DBF">
        <w:rPr>
          <w:rFonts w:ascii="Calibri" w:eastAsia="Calibri" w:hAnsi="Calibri" w:cs="Calibri"/>
          <w:lang w:eastAsia="it-IT"/>
        </w:rPr>
        <w:t>A differenza del credito d'imposta trattato al par. 2.1</w:t>
      </w:r>
      <w:r w:rsidR="00C92D66">
        <w:rPr>
          <w:rFonts w:ascii="Calibri" w:eastAsia="Calibri" w:hAnsi="Calibri" w:cs="Calibri"/>
          <w:lang w:eastAsia="it-IT"/>
        </w:rPr>
        <w:t>.1</w:t>
      </w:r>
      <w:r w:rsidRPr="00BB5DBF">
        <w:rPr>
          <w:rFonts w:ascii="Calibri" w:eastAsia="Calibri" w:hAnsi="Calibri" w:cs="Calibri"/>
          <w:lang w:eastAsia="it-IT"/>
        </w:rPr>
        <w:t>, il bonus occupazionale non incide sui costi dell'investimento in beni strumentali, ma sul costo del lavoro connesso alle nuove assunzioni: si tratta pertanto di uno strumento complementare, riferito a una diversa voce di costo del medesimo progetto imprenditoriale, con una propria e distinta disciplina di cumulo (cfr. par. 3.7).</w:t>
      </w:r>
    </w:p>
    <w:p w14:paraId="0F23C5EC" w14:textId="06FFFFD9" w:rsidR="00BB5DBF" w:rsidRPr="00BB5DBF" w:rsidRDefault="00BB5DBF" w:rsidP="00BB5DBF">
      <w:pPr>
        <w:numPr>
          <w:ilvl w:val="0"/>
          <w:numId w:val="12"/>
        </w:numPr>
        <w:spacing w:after="100" w:line="280" w:lineRule="auto"/>
        <w:rPr>
          <w:rFonts w:ascii="Calibri" w:eastAsia="Calibri" w:hAnsi="Calibri" w:cs="Calibri"/>
          <w:lang w:eastAsia="it-IT"/>
        </w:rPr>
      </w:pPr>
      <w:r w:rsidRPr="00BB5DBF">
        <w:rPr>
          <w:rFonts w:ascii="Calibri" w:eastAsia="Calibri" w:hAnsi="Calibri" w:cs="Calibri"/>
          <w:b/>
          <w:bCs/>
          <w:lang w:eastAsia="it-IT"/>
        </w:rPr>
        <w:t xml:space="preserve">Natura: </w:t>
      </w:r>
      <w:r w:rsidRPr="00BB5DBF">
        <w:rPr>
          <w:rFonts w:ascii="Calibri" w:eastAsia="Calibri" w:hAnsi="Calibri" w:cs="Calibri"/>
          <w:lang w:eastAsia="it-IT"/>
        </w:rPr>
        <w:t>esonero contributivo a carico del datore di lavoro, riconosciuto dall'INPS su domanda</w:t>
      </w:r>
      <w:r w:rsidR="00C92D66">
        <w:rPr>
          <w:rFonts w:ascii="Calibri" w:eastAsia="Calibri" w:hAnsi="Calibri" w:cs="Calibri"/>
          <w:lang w:eastAsia="it-IT"/>
        </w:rPr>
        <w:t xml:space="preserve"> presentata.</w:t>
      </w:r>
    </w:p>
    <w:p w14:paraId="6A6CAA13" w14:textId="77777777" w:rsidR="00BB5DBF" w:rsidRPr="00BB5DBF" w:rsidRDefault="00BB5DBF" w:rsidP="00BB5DBF">
      <w:pPr>
        <w:numPr>
          <w:ilvl w:val="0"/>
          <w:numId w:val="12"/>
        </w:numPr>
        <w:spacing w:after="100" w:line="280" w:lineRule="auto"/>
        <w:rPr>
          <w:rFonts w:ascii="Calibri" w:eastAsia="Calibri" w:hAnsi="Calibri" w:cs="Calibri"/>
          <w:lang w:eastAsia="it-IT"/>
        </w:rPr>
      </w:pPr>
      <w:r w:rsidRPr="00BB5DBF">
        <w:rPr>
          <w:rFonts w:ascii="Calibri" w:eastAsia="Calibri" w:hAnsi="Calibri" w:cs="Calibri"/>
          <w:b/>
          <w:bCs/>
          <w:lang w:eastAsia="it-IT"/>
        </w:rPr>
        <w:t xml:space="preserve">Beneficiari: </w:t>
      </w:r>
      <w:r w:rsidRPr="00BB5DBF">
        <w:rPr>
          <w:rFonts w:ascii="Calibri" w:eastAsia="Calibri" w:hAnsi="Calibri" w:cs="Calibri"/>
          <w:lang w:eastAsia="it-IT"/>
        </w:rPr>
        <w:t>datori di lavoro privati, con esclusione delle pubbliche amministrazioni; secondo le prime istruzioni operative INPS, l'accesso alla misura è riservato ai datori di lavoro che occupano fino a 10 dipendenti nel mese dell'assunzione agevolata.</w:t>
      </w:r>
    </w:p>
    <w:p w14:paraId="65C595B5" w14:textId="77777777" w:rsidR="00BB5DBF" w:rsidRPr="00BB5DBF" w:rsidRDefault="00BB5DBF" w:rsidP="00BB5DBF">
      <w:pPr>
        <w:numPr>
          <w:ilvl w:val="0"/>
          <w:numId w:val="12"/>
        </w:numPr>
        <w:spacing w:after="100" w:line="280" w:lineRule="auto"/>
        <w:rPr>
          <w:rFonts w:ascii="Calibri" w:eastAsia="Calibri" w:hAnsi="Calibri" w:cs="Calibri"/>
          <w:lang w:eastAsia="it-IT"/>
        </w:rPr>
      </w:pPr>
      <w:r w:rsidRPr="00BB5DBF">
        <w:rPr>
          <w:rFonts w:ascii="Calibri" w:eastAsia="Calibri" w:hAnsi="Calibri" w:cs="Calibri"/>
          <w:b/>
          <w:bCs/>
          <w:lang w:eastAsia="it-IT"/>
        </w:rPr>
        <w:t xml:space="preserve">Lavoratori interessati: </w:t>
      </w:r>
      <w:r w:rsidRPr="00BB5DBF">
        <w:rPr>
          <w:rFonts w:ascii="Calibri" w:eastAsia="Calibri" w:hAnsi="Calibri" w:cs="Calibri"/>
          <w:lang w:eastAsia="it-IT"/>
        </w:rPr>
        <w:t xml:space="preserve">assunzioni a tempo indeterminato di: lavoratori disoccupati </w:t>
      </w:r>
      <w:r w:rsidRPr="00BB5DBF">
        <w:rPr>
          <w:rFonts w:ascii="Calibri" w:eastAsia="Calibri" w:hAnsi="Calibri" w:cs="Calibri"/>
          <w:b/>
          <w:bCs/>
          <w:lang w:eastAsia="it-IT"/>
        </w:rPr>
        <w:t>over 36</w:t>
      </w:r>
      <w:r w:rsidRPr="00BB5DBF">
        <w:rPr>
          <w:rFonts w:ascii="Calibri" w:eastAsia="Calibri" w:hAnsi="Calibri" w:cs="Calibri"/>
          <w:lang w:eastAsia="it-IT"/>
        </w:rPr>
        <w:t xml:space="preserve">; giovani </w:t>
      </w:r>
      <w:r w:rsidRPr="00BB5DBF">
        <w:rPr>
          <w:rFonts w:ascii="Calibri" w:eastAsia="Calibri" w:hAnsi="Calibri" w:cs="Calibri"/>
          <w:b/>
          <w:bCs/>
          <w:lang w:eastAsia="it-IT"/>
        </w:rPr>
        <w:t>under 35</w:t>
      </w:r>
      <w:r w:rsidRPr="00BB5DBF">
        <w:rPr>
          <w:rFonts w:ascii="Calibri" w:eastAsia="Calibri" w:hAnsi="Calibri" w:cs="Calibri"/>
          <w:lang w:eastAsia="it-IT"/>
        </w:rPr>
        <w:t>; donne lavoratrici svantaggiate, secondo le condizioni di svantaggio individuate dalla disciplina europea in materia di aiuti all'occupazione.</w:t>
      </w:r>
    </w:p>
    <w:p w14:paraId="680D35CA" w14:textId="3A940A8F" w:rsidR="00BB5DBF" w:rsidRPr="00BB5DBF" w:rsidRDefault="00BB5DBF" w:rsidP="00BB5DBF">
      <w:pPr>
        <w:numPr>
          <w:ilvl w:val="0"/>
          <w:numId w:val="12"/>
        </w:numPr>
        <w:spacing w:after="100" w:line="280" w:lineRule="auto"/>
        <w:rPr>
          <w:rFonts w:ascii="Calibri" w:eastAsia="Calibri" w:hAnsi="Calibri" w:cs="Calibri"/>
          <w:lang w:eastAsia="it-IT"/>
        </w:rPr>
      </w:pPr>
      <w:r w:rsidRPr="00BB5DBF">
        <w:rPr>
          <w:rFonts w:ascii="Calibri" w:eastAsia="Calibri" w:hAnsi="Calibri" w:cs="Calibri"/>
          <w:b/>
          <w:bCs/>
          <w:lang w:eastAsia="it-IT"/>
        </w:rPr>
        <w:t xml:space="preserve">Ambito territoriale: </w:t>
      </w:r>
      <w:r w:rsidRPr="00BB5DBF">
        <w:rPr>
          <w:rFonts w:ascii="Calibri" w:eastAsia="Calibri" w:hAnsi="Calibri" w:cs="Calibri"/>
          <w:lang w:eastAsia="it-IT"/>
        </w:rPr>
        <w:t>assunzioni relative a sedi o unità produttive situate nel territorio della ZES unica; per Marche, coerentemente con quanto illustrato al par. 1.</w:t>
      </w:r>
      <w:r w:rsidR="006D02CB">
        <w:rPr>
          <w:rFonts w:ascii="Calibri" w:eastAsia="Calibri" w:hAnsi="Calibri" w:cs="Calibri"/>
          <w:lang w:eastAsia="it-IT"/>
        </w:rPr>
        <w:t>2</w:t>
      </w:r>
      <w:r w:rsidRPr="00BB5DBF">
        <w:rPr>
          <w:rFonts w:ascii="Calibri" w:eastAsia="Calibri" w:hAnsi="Calibri" w:cs="Calibri"/>
          <w:lang w:eastAsia="it-IT"/>
        </w:rPr>
        <w:t xml:space="preserve">, l'ambito di applicazione del bonus occupazionale si estende a </w:t>
      </w:r>
      <w:r w:rsidRPr="00BB5DBF">
        <w:rPr>
          <w:rFonts w:ascii="Calibri" w:eastAsia="Calibri" w:hAnsi="Calibri" w:cs="Calibri"/>
          <w:b/>
          <w:bCs/>
          <w:lang w:eastAsia="it-IT"/>
        </w:rPr>
        <w:t>tutto il territorio regionale</w:t>
      </w:r>
      <w:r w:rsidRPr="00BB5DBF">
        <w:rPr>
          <w:rFonts w:ascii="Calibri" w:eastAsia="Calibri" w:hAnsi="Calibri" w:cs="Calibri"/>
          <w:lang w:eastAsia="it-IT"/>
        </w:rPr>
        <w:t>, senza il vincolo della mappatura puntuale nei Comuni 107.3.c che riguarda invece il credito d'imposta agli investimenti.</w:t>
      </w:r>
    </w:p>
    <w:p w14:paraId="5DD57BF2" w14:textId="77777777" w:rsidR="00BB5DBF" w:rsidRPr="00BB5DBF" w:rsidRDefault="00BB5DBF" w:rsidP="00BB5DBF">
      <w:pPr>
        <w:numPr>
          <w:ilvl w:val="0"/>
          <w:numId w:val="12"/>
        </w:numPr>
        <w:spacing w:after="100" w:line="280" w:lineRule="auto"/>
        <w:rPr>
          <w:rFonts w:ascii="Calibri" w:eastAsia="Calibri" w:hAnsi="Calibri" w:cs="Calibri"/>
          <w:lang w:eastAsia="it-IT"/>
        </w:rPr>
      </w:pPr>
      <w:r w:rsidRPr="00BB5DBF">
        <w:rPr>
          <w:rFonts w:ascii="Calibri" w:eastAsia="Calibri" w:hAnsi="Calibri" w:cs="Calibri"/>
          <w:b/>
          <w:bCs/>
          <w:lang w:eastAsia="it-IT"/>
        </w:rPr>
        <w:t xml:space="preserve">Misura e durata del beneficio: </w:t>
      </w:r>
      <w:r w:rsidRPr="00BB5DBF">
        <w:rPr>
          <w:rFonts w:ascii="Calibri" w:eastAsia="Calibri" w:hAnsi="Calibri" w:cs="Calibri"/>
          <w:lang w:eastAsia="it-IT"/>
        </w:rPr>
        <w:t>esonero contributivo, entro i massimali e per i periodi stabiliti dal D.L. 62/2026 e dai relativi decreti attuativi, differenziati in ragione della categoria di lavoratore assunto e della relativa condizione di svantaggio.</w:t>
      </w:r>
    </w:p>
    <w:p w14:paraId="6200CC87" w14:textId="77777777" w:rsidR="00BB5DBF" w:rsidRPr="00BB5DBF" w:rsidRDefault="00BB5DBF" w:rsidP="00BB5DBF">
      <w:pPr>
        <w:numPr>
          <w:ilvl w:val="0"/>
          <w:numId w:val="12"/>
        </w:numPr>
        <w:spacing w:after="100" w:line="280" w:lineRule="auto"/>
        <w:rPr>
          <w:rFonts w:ascii="Calibri" w:eastAsia="Calibri" w:hAnsi="Calibri" w:cs="Calibri"/>
          <w:lang w:eastAsia="it-IT"/>
        </w:rPr>
      </w:pPr>
      <w:r w:rsidRPr="00BB5DBF">
        <w:rPr>
          <w:rFonts w:ascii="Calibri" w:eastAsia="Calibri" w:hAnsi="Calibri" w:cs="Calibri"/>
          <w:b/>
          <w:bCs/>
          <w:lang w:eastAsia="it-IT"/>
        </w:rPr>
        <w:t xml:space="preserve">Periodo di riferimento: </w:t>
      </w:r>
      <w:r w:rsidRPr="00BB5DBF">
        <w:rPr>
          <w:rFonts w:ascii="Calibri" w:eastAsia="Calibri" w:hAnsi="Calibri" w:cs="Calibri"/>
          <w:lang w:eastAsia="it-IT"/>
        </w:rPr>
        <w:t>assunzioni effettuate nel periodo dal 1º gennaio al 31 dicembre 2026.</w:t>
      </w:r>
    </w:p>
    <w:p w14:paraId="53B33A2C" w14:textId="54CCA60B" w:rsidR="00BB5DBF" w:rsidRDefault="00BB5DBF" w:rsidP="00BB5DBF">
      <w:pPr>
        <w:numPr>
          <w:ilvl w:val="0"/>
          <w:numId w:val="12"/>
        </w:numPr>
        <w:spacing w:after="100" w:line="280" w:lineRule="auto"/>
        <w:rPr>
          <w:rFonts w:ascii="Calibri" w:eastAsia="Calibri" w:hAnsi="Calibri" w:cs="Calibri"/>
          <w:lang w:eastAsia="it-IT"/>
        </w:rPr>
      </w:pPr>
      <w:r w:rsidRPr="00BB5DBF">
        <w:rPr>
          <w:rFonts w:ascii="Calibri" w:eastAsia="Calibri" w:hAnsi="Calibri" w:cs="Calibri"/>
          <w:b/>
          <w:bCs/>
          <w:lang w:eastAsia="it-IT"/>
        </w:rPr>
        <w:t xml:space="preserve">Procedura: </w:t>
      </w:r>
      <w:r w:rsidRPr="00BB5DBF">
        <w:rPr>
          <w:rFonts w:ascii="Calibri" w:eastAsia="Calibri" w:hAnsi="Calibri" w:cs="Calibri"/>
          <w:lang w:eastAsia="it-IT"/>
        </w:rPr>
        <w:t>domanda telematica all'INPS attraverso il Portale delle agevolazioni, secondo le istruzioni operative fornite con le circolari INPS dedicate alla misura.</w:t>
      </w:r>
      <w:r w:rsidR="00A6411D">
        <w:rPr>
          <w:rFonts w:ascii="Calibri" w:eastAsia="Calibri" w:hAnsi="Calibri" w:cs="Calibri"/>
          <w:lang w:eastAsia="it-IT"/>
        </w:rPr>
        <w:t xml:space="preserve"> Link per accedere allo strumento </w:t>
      </w:r>
      <w:hyperlink r:id="rId14" w:history="1">
        <w:r w:rsidR="00A6411D" w:rsidRPr="00AF6FBB">
          <w:rPr>
            <w:rStyle w:val="Collegamentoipertestuale"/>
            <w:rFonts w:ascii="Calibri" w:eastAsia="Calibri" w:hAnsi="Calibri" w:cs="Calibri"/>
            <w:lang w:eastAsia="it-IT"/>
          </w:rPr>
          <w:t>https://www.inps.it/it/it/dettaglio-scheda.it.schede-servizio-strumento.schede-servizi.portale-delle-agevolazioni-ex-diresco--50122.portale-delle-agevolazioni-ex-diresco-.html</w:t>
        </w:r>
      </w:hyperlink>
    </w:p>
    <w:p w14:paraId="7A722EA6" w14:textId="77777777" w:rsidR="00A6411D" w:rsidRPr="00BB5DBF" w:rsidRDefault="00A6411D" w:rsidP="00A6411D">
      <w:pPr>
        <w:spacing w:after="100" w:line="280" w:lineRule="auto"/>
        <w:ind w:left="504"/>
        <w:rPr>
          <w:rFonts w:ascii="Calibri" w:eastAsia="Calibri" w:hAnsi="Calibri" w:cs="Calibri"/>
          <w:lang w:eastAsia="it-IT"/>
        </w:rPr>
      </w:pPr>
    </w:p>
    <w:tbl>
      <w:tblPr>
        <w:tblW w:w="5000" w:type="pct"/>
        <w:tblInd w:w="-1" w:type="dxa"/>
        <w:tblBorders>
          <w:top w:val="single" w:sz="4" w:space="0" w:color="2E5395"/>
          <w:left w:val="single" w:sz="4" w:space="0" w:color="2E5395"/>
          <w:bottom w:val="single" w:sz="4" w:space="0" w:color="2E5395"/>
          <w:right w:val="single" w:sz="4" w:space="0" w:color="2E5395"/>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28"/>
      </w:tblGrid>
      <w:tr w:rsidR="00BB5DBF" w:rsidRPr="00BB5DBF" w14:paraId="721A9928" w14:textId="77777777" w:rsidTr="000F0288">
        <w:tc>
          <w:tcPr>
            <w:tcW w:w="0" w:type="auto"/>
            <w:shd w:val="clear" w:color="auto" w:fill="F2F2F2"/>
            <w:tcMar>
              <w:top w:w="160" w:type="dxa"/>
              <w:left w:w="200" w:type="dxa"/>
              <w:bottom w:w="160" w:type="dxa"/>
              <w:right w:w="200" w:type="dxa"/>
            </w:tcMar>
          </w:tcPr>
          <w:p w14:paraId="1DCB8FBD" w14:textId="77777777" w:rsidR="00BB5DBF" w:rsidRPr="00BB5DBF" w:rsidRDefault="00BB5DBF" w:rsidP="00BB5DBF">
            <w:pPr>
              <w:spacing w:after="60" w:line="240" w:lineRule="auto"/>
              <w:rPr>
                <w:rFonts w:ascii="Calibri" w:eastAsia="Calibri" w:hAnsi="Calibri" w:cs="Calibri"/>
                <w:lang w:eastAsia="it-IT"/>
              </w:rPr>
            </w:pPr>
            <w:r w:rsidRPr="00BB5DBF">
              <w:rPr>
                <w:rFonts w:ascii="Calibri" w:eastAsia="Calibri" w:hAnsi="Calibri" w:cs="Calibri"/>
                <w:b/>
                <w:bCs/>
                <w:color w:val="1F3864"/>
                <w:sz w:val="20"/>
                <w:szCs w:val="20"/>
                <w:lang w:eastAsia="it-IT"/>
              </w:rPr>
              <w:lastRenderedPageBreak/>
              <w:t>Punto di attenzione</w:t>
            </w:r>
          </w:p>
          <w:p w14:paraId="255612C3" w14:textId="77777777" w:rsidR="00BB5DBF" w:rsidRPr="00BB5DBF" w:rsidRDefault="00BB5DBF" w:rsidP="00BB5DBF">
            <w:pPr>
              <w:spacing w:after="0" w:line="280" w:lineRule="auto"/>
              <w:jc w:val="both"/>
              <w:rPr>
                <w:rFonts w:ascii="Calibri" w:eastAsia="Calibri" w:hAnsi="Calibri" w:cs="Calibri"/>
                <w:lang w:eastAsia="it-IT"/>
              </w:rPr>
            </w:pPr>
            <w:r w:rsidRPr="00BB5DBF">
              <w:rPr>
                <w:rFonts w:ascii="Calibri" w:eastAsia="Calibri" w:hAnsi="Calibri" w:cs="Calibri"/>
                <w:color w:val="333333"/>
                <w:sz w:val="20"/>
                <w:szCs w:val="20"/>
                <w:lang w:eastAsia="it-IT"/>
              </w:rPr>
              <w:t>I riferimenti normativi e i massimali specifici del Bonus ZES 2026 (importi mensili, durata dell'esonero per singola categoria di lavoratore, eventuali limiti di spesa e relativo monitoraggio da parte dell'INPS) sono soggetti ad aggiornamento in base ai decreti attuativi e alle circolari INPS via via pubblicate: prima di ogni applicazione concreta occorre verificarne il testo vigente.</w:t>
            </w:r>
          </w:p>
        </w:tc>
      </w:tr>
    </w:tbl>
    <w:p w14:paraId="2652A165" w14:textId="21AC2172" w:rsidR="00E259D7" w:rsidRPr="00C92D66" w:rsidRDefault="00BB5DBF" w:rsidP="00C92D66">
      <w:pPr>
        <w:spacing w:line="300" w:lineRule="auto"/>
        <w:jc w:val="both"/>
        <w:rPr>
          <w:rFonts w:ascii="Calibri" w:eastAsia="Calibri" w:hAnsi="Calibri" w:cs="Calibri"/>
          <w:lang w:eastAsia="it-IT"/>
        </w:rPr>
      </w:pPr>
      <w:r w:rsidRPr="00BB5DBF">
        <w:rPr>
          <w:rFonts w:ascii="Calibri" w:eastAsia="Calibri" w:hAnsi="Calibri" w:cs="Calibri"/>
          <w:lang w:eastAsia="it-IT"/>
        </w:rPr>
        <w:t xml:space="preserve">Il bonus occupazionale ZES si inquadra, sotto il profilo della disciplina degli aiuti di Stato, come misura riconducibile alla disciplina europea sugli </w:t>
      </w:r>
      <w:r w:rsidRPr="00BB5DBF">
        <w:rPr>
          <w:rFonts w:ascii="Calibri" w:eastAsia="Calibri" w:hAnsi="Calibri" w:cs="Calibri"/>
          <w:b/>
          <w:bCs/>
          <w:lang w:eastAsia="it-IT"/>
        </w:rPr>
        <w:t>aiuti all'occupazione di lavoratori svantaggiati</w:t>
      </w:r>
      <w:r w:rsidRPr="00BB5DBF">
        <w:rPr>
          <w:rFonts w:ascii="Calibri" w:eastAsia="Calibri" w:hAnsi="Calibri" w:cs="Calibri"/>
          <w:lang w:eastAsia="it-IT"/>
        </w:rPr>
        <w:t xml:space="preserve"> (tipicamente regolata, a seconda della base giuridica prescelta dal legislatore, dal GBER – artt. 32-33 – ovvero dai regolamenti de </w:t>
      </w:r>
      <w:proofErr w:type="spellStart"/>
      <w:r w:rsidRPr="00BB5DBF">
        <w:rPr>
          <w:rFonts w:ascii="Calibri" w:eastAsia="Calibri" w:hAnsi="Calibri" w:cs="Calibri"/>
          <w:lang w:eastAsia="it-IT"/>
        </w:rPr>
        <w:t>minimis</w:t>
      </w:r>
      <w:proofErr w:type="spellEnd"/>
      <w:r w:rsidRPr="00BB5DBF">
        <w:rPr>
          <w:rFonts w:ascii="Calibri" w:eastAsia="Calibri" w:hAnsi="Calibri" w:cs="Calibri"/>
          <w:lang w:eastAsia="it-IT"/>
        </w:rPr>
        <w:t>). L'esatto inquadramento giuridico-europeo della misura, ai fini della relativa disciplina di cumulo, va verificato sul provvedimento attuativo e sulle circolari INPS di riferimento.</w:t>
      </w:r>
    </w:p>
    <w:p w14:paraId="31D85419" w14:textId="2153B65D" w:rsidR="00DE082D" w:rsidRDefault="005436C7" w:rsidP="005436C7">
      <w:pPr>
        <w:jc w:val="both"/>
      </w:pPr>
      <w:r w:rsidRPr="005436C7">
        <w:rPr>
          <w:b/>
        </w:rPr>
        <w:t>3.</w:t>
      </w:r>
      <w:r>
        <w:rPr>
          <w:b/>
        </w:rPr>
        <w:t xml:space="preserve"> </w:t>
      </w:r>
      <w:r w:rsidR="00AD772A" w:rsidRPr="005436C7">
        <w:rPr>
          <w:b/>
        </w:rPr>
        <w:t>IL CUMULO CON ALTRE AGEVOLAZIONI PUBBLICHE</w:t>
      </w:r>
      <w:r w:rsidR="00EC1A37">
        <w:rPr>
          <w:b/>
        </w:rPr>
        <w:t>. PRINCIPI GENERALI.</w:t>
      </w:r>
    </w:p>
    <w:p w14:paraId="2DF11EEB" w14:textId="573F98CA" w:rsidR="00A80666" w:rsidRDefault="005B7781" w:rsidP="009A619A">
      <w:pPr>
        <w:jc w:val="both"/>
      </w:pPr>
      <w:r w:rsidRPr="00BD64E3">
        <w:t>L'art. 8 del GBER stabilisce il principio cardine in materia di cumulo: gli aiuti esentati dal Regolamento possono cumularsi con altri aiuti di Stato riguardanti costi ammissibili individuabili diversi senza alcun limite. Quando invece il cumulo riguarda i medesimi costi ammissibili, in tutto o in parte coincidenti, esso è consentito solo se non conduce al superamento dell'intensità di aiuto o dell'importo di aiuto più elevati applicabili a norma della pertinente disciplina europea di riferimento. Questo è il principio che governa espressamente anche il credito d'imposta ZES, come confermato dalla stessa norma istitutiva.</w:t>
      </w:r>
    </w:p>
    <w:p w14:paraId="5AC1F7E8" w14:textId="77777777" w:rsidR="00BD64E3" w:rsidRDefault="00BD64E3" w:rsidP="00BD64E3">
      <w:pPr>
        <w:jc w:val="both"/>
      </w:pPr>
      <w:r>
        <w:t>La distinzione tra costi ammissibili individuabili e non individuabili è il primo test da compiere in ogni verifica di cumulo:</w:t>
      </w:r>
    </w:p>
    <w:p w14:paraId="5E5072D2" w14:textId="4931E053" w:rsidR="00BD64E3" w:rsidRDefault="00BD64E3" w:rsidP="00BD64E3">
      <w:pPr>
        <w:jc w:val="both"/>
      </w:pPr>
      <w:r>
        <w:t>•</w:t>
      </w:r>
      <w:r>
        <w:tab/>
        <w:t>Costi individuabili: quando due misure finanziano voci di spesa distinte e separabili all'interno dello stesso progetto (es. un bando finanzia la componente immobiliare, il credito ZES la componente impiantistica), il cumulo è libero, poiché non vi è sovrapposizione sugli stessi costi.</w:t>
      </w:r>
    </w:p>
    <w:p w14:paraId="3DD574BE" w14:textId="75D865AB" w:rsidR="00BD64E3" w:rsidRDefault="00BD64E3" w:rsidP="00BD64E3">
      <w:pPr>
        <w:jc w:val="both"/>
      </w:pPr>
      <w:r>
        <w:t>•</w:t>
      </w:r>
      <w:r>
        <w:tab/>
        <w:t>Costi non individuabili o parzialmente coincidenti: quando le due misure insistono sulle medesime voci di costo (es. entrambe finanziano l'acquisto dello stesso macchinario), si applica il vincolo dell'intensità massima cumulata, da verificare sommando le intensità/importi di tutte le misure concorrenti.</w:t>
      </w:r>
    </w:p>
    <w:p w14:paraId="09C1359B" w14:textId="66B766FD" w:rsidR="001F5880" w:rsidRDefault="001F5880" w:rsidP="00BD64E3">
      <w:pPr>
        <w:jc w:val="both"/>
      </w:pPr>
      <w:r>
        <w:t xml:space="preserve">Per ulteriori approfondimenti si rimanda al documento adottato con </w:t>
      </w:r>
      <w:r w:rsidRPr="001F5880">
        <w:t>DDS PRN n. 15 del 18/6/2024 “Decreto di approvazione della scheda di approfondimento concetto di cumulo e definizione di divieto di doppio finanziamento”</w:t>
      </w:r>
      <w:r>
        <w:t>.</w:t>
      </w:r>
    </w:p>
    <w:p w14:paraId="02A43452" w14:textId="1427569B" w:rsidR="00514B8B" w:rsidRPr="008119ED" w:rsidRDefault="00514B8B" w:rsidP="00BD64E3">
      <w:pPr>
        <w:jc w:val="both"/>
        <w:rPr>
          <w:b/>
        </w:rPr>
      </w:pPr>
      <w:r w:rsidRPr="008119ED">
        <w:rPr>
          <w:b/>
        </w:rPr>
        <w:t xml:space="preserve">3.1. </w:t>
      </w:r>
      <w:r w:rsidR="002E4981" w:rsidRPr="002E4981">
        <w:rPr>
          <w:b/>
        </w:rPr>
        <w:t xml:space="preserve">IL CUMULO </w:t>
      </w:r>
      <w:r w:rsidR="002E4981" w:rsidRPr="008119ED">
        <w:rPr>
          <w:b/>
        </w:rPr>
        <w:t xml:space="preserve">CON ALTRI SOSTEGNI PUBBLICI </w:t>
      </w:r>
      <w:r w:rsidR="002E4981" w:rsidRPr="002E4981">
        <w:rPr>
          <w:b/>
        </w:rPr>
        <w:t>DEL CREDITO D'IMPOSTA ZES: LA DISTINZIONE TRA NON AIUTI, AIUTI DI STATO E DE MINIMIS</w:t>
      </w:r>
      <w:r w:rsidR="002E4981" w:rsidRPr="008119ED">
        <w:rPr>
          <w:b/>
        </w:rPr>
        <w:t xml:space="preserve"> </w:t>
      </w:r>
    </w:p>
    <w:p w14:paraId="04B22C52" w14:textId="77777777" w:rsidR="002E4981" w:rsidRDefault="002E4981" w:rsidP="002E4981">
      <w:pPr>
        <w:jc w:val="both"/>
      </w:pPr>
      <w:r>
        <w:t xml:space="preserve">Il legislatore statale ha stabilito che il credito d'imposta ZES </w:t>
      </w:r>
      <w:r w:rsidRPr="00D11A96">
        <w:rPr>
          <w:b/>
        </w:rPr>
        <w:t>è cumulabile</w:t>
      </w:r>
      <w:r>
        <w:t>, nei limiti delle spese effettivamente sostenute, sia con misure che non siano qualificabili come aiuti di Stato ai sensi dell'art. 107 TFUE, sia con misure che costituiscono aiuti di Stato in senso proprio.</w:t>
      </w:r>
    </w:p>
    <w:p w14:paraId="425AE842" w14:textId="05B93628" w:rsidR="002E4981" w:rsidRDefault="002E4981" w:rsidP="00C939D3">
      <w:pPr>
        <w:jc w:val="both"/>
      </w:pPr>
      <w:r>
        <w:t xml:space="preserve">Come noto, e come già approfondito nel </w:t>
      </w:r>
      <w:bookmarkStart w:id="1" w:name="_Hlk239412301"/>
      <w:r>
        <w:t xml:space="preserve">DDS </w:t>
      </w:r>
      <w:r w:rsidR="00C939D3">
        <w:t>PRN n. 15 del 18/6/2024 “</w:t>
      </w:r>
      <w:r w:rsidR="00C939D3" w:rsidRPr="00C939D3">
        <w:rPr>
          <w:i/>
        </w:rPr>
        <w:t>Decreto di approvazione della scheda di approfondimento concetto di cumulo e definizione di divieto di doppio finanziamento</w:t>
      </w:r>
      <w:r w:rsidR="00C939D3">
        <w:t>”</w:t>
      </w:r>
      <w:bookmarkEnd w:id="1"/>
      <w:r>
        <w:t>, il cumulo di un sostegno pubblico non qualificabile come aiuto di Stato con un diverso sostegno pubblico qualificabile come aiuto di Stato incontra un unico limite: il divieto di sovra</w:t>
      </w:r>
      <w:r w:rsidR="00C7326B">
        <w:t xml:space="preserve"> </w:t>
      </w:r>
      <w:r>
        <w:t>compensazione del costo complessivo del progetto, ossia il divieto che la somma dei sostegni pubblici ricevuti superi l'ammontare dei costi effettivamente sostenuti dal beneficiario.</w:t>
      </w:r>
    </w:p>
    <w:p w14:paraId="1A8D8F23" w14:textId="2D5F55A1" w:rsidR="00F20364" w:rsidRPr="002171E9" w:rsidRDefault="002E4981" w:rsidP="002E4981">
      <w:pPr>
        <w:jc w:val="both"/>
        <w:rPr>
          <w:highlight w:val="red"/>
        </w:rPr>
      </w:pPr>
      <w:r>
        <w:t xml:space="preserve">Diversamente, il cumulo sul medesimo progetto tra il credito d'imposta ZES e altri sostegni pubblici inquadrati ai sensi della disciplina de </w:t>
      </w:r>
      <w:proofErr w:type="spellStart"/>
      <w:r>
        <w:t>minimis</w:t>
      </w:r>
      <w:proofErr w:type="spellEnd"/>
      <w:r>
        <w:t xml:space="preserve"> (Regolamento (UE) 2023/2831 e regimi settoriali corrispondenti) è </w:t>
      </w:r>
      <w:r>
        <w:lastRenderedPageBreak/>
        <w:t xml:space="preserve">consentito sugli stessi costi ammissibili, ma entro un limite più stringente: il non superamento dell'intensità massima di aiuto prevista dall'art. 14 del GBER, differenziata in base alla dimensione d'impresa secondo quanto illustrato al par. 2.1. Resta inoltre fermo, in modo autonomo e ulteriore rispetto a tale verifica, il rispetto dei massimali de </w:t>
      </w:r>
      <w:proofErr w:type="spellStart"/>
      <w:r>
        <w:t>minimis</w:t>
      </w:r>
      <w:proofErr w:type="spellEnd"/>
      <w:r>
        <w:t xml:space="preserve"> previsti per impresa unica nell'arco del triennio mobile.</w:t>
      </w:r>
      <w:r w:rsidR="00C7326B">
        <w:t xml:space="preserve"> </w:t>
      </w:r>
      <w:r w:rsidR="008119ED">
        <w:t xml:space="preserve">Il cumulo </w:t>
      </w:r>
      <w:r w:rsidR="00AE7BD6">
        <w:t xml:space="preserve">dello sgravio fiscale </w:t>
      </w:r>
      <w:proofErr w:type="spellStart"/>
      <w:r w:rsidR="00AE7BD6">
        <w:t>zes</w:t>
      </w:r>
      <w:proofErr w:type="spellEnd"/>
      <w:r w:rsidR="00AE7BD6">
        <w:t xml:space="preserve"> </w:t>
      </w:r>
      <w:r w:rsidR="008D4A01">
        <w:t xml:space="preserve">è </w:t>
      </w:r>
      <w:r w:rsidR="00F20364">
        <w:t xml:space="preserve">consentito </w:t>
      </w:r>
      <w:r w:rsidR="008119ED">
        <w:t xml:space="preserve">con altri aiuti di Stato notificati o esentati (bandi regionali FESR/FSE+, misure statali settoriali, aiuti concessi nell'ambito del PNRR) </w:t>
      </w:r>
      <w:r w:rsidR="008D4A01">
        <w:t>nel rispetto del</w:t>
      </w:r>
      <w:r w:rsidR="008119ED">
        <w:t xml:space="preserve">la medesima regola: è ammesso sui medesimi costi solo entro il tetto dell'intensità massima consentita. </w:t>
      </w:r>
    </w:p>
    <w:p w14:paraId="4A0894B0" w14:textId="5F6859D9" w:rsidR="008119ED" w:rsidRDefault="008119ED" w:rsidP="008119ED">
      <w:pPr>
        <w:jc w:val="both"/>
      </w:pPr>
      <w:r>
        <w:t xml:space="preserve">Un profilo di particolare rilevanza pratica, spesso sottovalutato, riguarda </w:t>
      </w:r>
      <w:r w:rsidRPr="009D3208">
        <w:rPr>
          <w:u w:val="single"/>
        </w:rPr>
        <w:t xml:space="preserve">il possibile scarto tra l'intensità massima teorica prevista dall'art. 14 GBER e il credito d'imposta ZES effettivamente riconosciuto. Il credito è infatti finanziato entro un plafond di risorse pubbliche stanziato a livello statale per ciascuna annualità: qualora l'ammontare complessivo delle comunicazioni presentate dalle imprese ecceda tale plafond, l'Agenzia delle Entrate ridetermina in diminuzione, in base a un criterio di riparto proporzionale, la percentuale di credito effettivamente fruibile </w:t>
      </w:r>
      <w:r w:rsidR="002171E9" w:rsidRPr="009D3208">
        <w:rPr>
          <w:u w:val="single"/>
        </w:rPr>
        <w:t xml:space="preserve">da ciascun beneficiario ammesso </w:t>
      </w:r>
      <w:r w:rsidRPr="009D3208">
        <w:rPr>
          <w:u w:val="single"/>
        </w:rPr>
        <w:t xml:space="preserve">rispetto a quella </w:t>
      </w:r>
      <w:r w:rsidR="002171E9" w:rsidRPr="009D3208">
        <w:rPr>
          <w:u w:val="single"/>
        </w:rPr>
        <w:t>concedibile</w:t>
      </w:r>
      <w:r w:rsidRPr="009D3208">
        <w:rPr>
          <w:u w:val="single"/>
        </w:rPr>
        <w:t>.</w:t>
      </w:r>
    </w:p>
    <w:p w14:paraId="2E255E5A" w14:textId="4423ED31" w:rsidR="008119ED" w:rsidRDefault="008119ED" w:rsidP="008119ED">
      <w:pPr>
        <w:jc w:val="both"/>
      </w:pPr>
      <w:r w:rsidRPr="00D81B59">
        <w:rPr>
          <w:u w:val="single"/>
        </w:rPr>
        <w:t>Esempio pratico.</w:t>
      </w:r>
      <w:r>
        <w:t xml:space="preserve"> Si consideri una piccola impresa che sostiene un progetto di investimento in un Comune marchigiano mappato, con costi ammissibili pari a 300.000 euro. L'intensità massima teorica ai sensi dell'art. 14 GBER è pari al 35%, corrispondente a un credito teorico di 105.000 euro. Qualora, per incapienza del plafond statale stanziato per l'anno di riferimento, l'Agenzia delle Entrate riconosca una percentuale di fruizione effettiva inferiore </w:t>
      </w:r>
      <w:r w:rsidR="00D11A96">
        <w:t xml:space="preserve">a quella teoricamente concedibile </w:t>
      </w:r>
      <w:r>
        <w:t>(ipotesi tutt'altro che infrequente, già verificatasi in sede di prima applicazione della misura), l'impresa fruirà di un credito d'imposta ZES inferiore ai 105.000 euro.</w:t>
      </w:r>
      <w:r w:rsidR="00AC4C9B">
        <w:t xml:space="preserve"> </w:t>
      </w:r>
      <w:r>
        <w:t>In tale scenario si determina, sui medesimi costi ammissibili, un margine di intensità non goduta rispetto al tetto massimo del 35% consentito dalla Carta degli aiuti. Tale margine non è automaticamente perduto: in linea di principio, resta disponibile per la concessione di ulteriori aiuti sugli stessi costi da parte di soggetti concedenti diversi dall'Agenzia delle Entrate (ad esempio la Regione, tramite un proprio bando GBER), a condizione che la somma tra il credito ZES effettivamente ottenuto e il nuovo aiuto non superi, sui medesimi costi, l'intensità massima del 35% prevista per la piccola impresa in quel territorio.</w:t>
      </w:r>
    </w:p>
    <w:tbl>
      <w:tblPr>
        <w:tblW w:w="5000" w:type="pct"/>
        <w:tblInd w:w="-1" w:type="dxa"/>
        <w:tblBorders>
          <w:top w:val="single" w:sz="4" w:space="0" w:color="2E5395"/>
          <w:left w:val="single" w:sz="4" w:space="0" w:color="2E5395"/>
          <w:bottom w:val="single" w:sz="4" w:space="0" w:color="2E5395"/>
          <w:right w:val="single" w:sz="4" w:space="0" w:color="2E5395"/>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28"/>
      </w:tblGrid>
      <w:tr w:rsidR="00AF0531" w14:paraId="4C048E00" w14:textId="77777777" w:rsidTr="000F0288">
        <w:tc>
          <w:tcPr>
            <w:tcW w:w="0" w:type="auto"/>
            <w:shd w:val="clear" w:color="auto" w:fill="F2F2F2"/>
            <w:tcMar>
              <w:top w:w="160" w:type="dxa"/>
              <w:left w:w="200" w:type="dxa"/>
              <w:bottom w:w="160" w:type="dxa"/>
              <w:right w:w="200" w:type="dxa"/>
            </w:tcMar>
          </w:tcPr>
          <w:p w14:paraId="6A882299" w14:textId="7C59BC83" w:rsidR="00AF0531" w:rsidRDefault="00AF0531" w:rsidP="000F0288">
            <w:pPr>
              <w:spacing w:after="60"/>
              <w:rPr>
                <w:b/>
                <w:bCs/>
                <w:color w:val="1F3864"/>
                <w:sz w:val="20"/>
                <w:szCs w:val="20"/>
              </w:rPr>
            </w:pPr>
            <w:r>
              <w:rPr>
                <w:b/>
                <w:bCs/>
                <w:color w:val="1F3864"/>
                <w:sz w:val="20"/>
                <w:szCs w:val="20"/>
              </w:rPr>
              <w:t>Punto di attenzione</w:t>
            </w:r>
          </w:p>
          <w:p w14:paraId="3A462355" w14:textId="77777777" w:rsidR="00806A77" w:rsidRDefault="00806A77" w:rsidP="00806A77">
            <w:pPr>
              <w:spacing w:after="60"/>
              <w:jc w:val="both"/>
            </w:pPr>
            <w:r>
              <w:t>Ai fini istruttori, la verifica del margine disponibile deve sempre basarsi sulla consapevolezza del beneficiario circa la percentuale di credito d'imposta ZES effettivamente riconosciutagli dall'Agenzia delle Entrate, e non sull'intensità teorica dell'art. 14 GBER: solo il dato reale consente di calcolare correttamente lo spazio di cumulo residuo sul progetto.</w:t>
            </w:r>
          </w:p>
          <w:p w14:paraId="2FC63FB5" w14:textId="6152A415" w:rsidR="00806A77" w:rsidRDefault="00806A77" w:rsidP="00806A77">
            <w:pPr>
              <w:spacing w:after="60"/>
              <w:jc w:val="both"/>
            </w:pPr>
            <w:r>
              <w:t xml:space="preserve">Un secondo aspetto, altrettanto rilevante e da non sottovalutare, riguarda i tempi di registrazione dell'aiuto nel Registro Nazionale degli Aiuti. Ai sensi dell'art. 10 del Decreto del Ministero dello Sviluppo Economico 31 maggio 2017, n. 115 (“Regolamento </w:t>
            </w:r>
            <w:r w:rsidR="00017140">
              <w:t xml:space="preserve">sul funzionamento di </w:t>
            </w:r>
            <w:r>
              <w:t>RNA”), gli aiuti fiscali automatici e semiautomatici</w:t>
            </w:r>
            <w:r w:rsidR="00017140">
              <w:t xml:space="preserve">, </w:t>
            </w:r>
            <w:r>
              <w:t>tra cui il credito d'imposta ZES</w:t>
            </w:r>
            <w:r w:rsidR="00017140">
              <w:t xml:space="preserve">, </w:t>
            </w:r>
            <w:r>
              <w:t>si intendono concessi e sono registrati dall'Agenzia delle Entrate nel RNA sulla base dei dati dichiarati dal beneficiario nel prospetto Aiuti di Stato della dichiarazione fiscale, nell'esercizio finanziario successivo a quello di fruizione del credito. Si determina quindi un intervallo temporale, tipicamente di un anno, in cui il credito ZES risulta già fruito dall'impresa ma non ancora visibile nel RNA.</w:t>
            </w:r>
          </w:p>
          <w:p w14:paraId="6386D5B3" w14:textId="77777777" w:rsidR="00806A77" w:rsidRDefault="00806A77" w:rsidP="00806A77">
            <w:pPr>
              <w:spacing w:after="60"/>
              <w:jc w:val="both"/>
            </w:pPr>
            <w:r>
              <w:t>Se in tale intervallo un diverso soggetto concedente registra nel RNA, sul medesimo progetto e sulle medesime spese ammissibili, un proprio aiuto, quest'ultimo verrà concesso senza che dal RNA emerga il credito ZES già fruito: la somma dei due aiuti sui medesimi costi potrebbe pertanto superare, a posteriori, l'intensità massima consentita, esponendo l'impresa al rischio di dover restituire il credito d'imposta ZES già fruito (o l'eccedenza) per superamento del massimale.</w:t>
            </w:r>
          </w:p>
          <w:p w14:paraId="03A42AA4" w14:textId="4C7EDF4A" w:rsidR="00AF0531" w:rsidRDefault="00806A77" w:rsidP="00017140">
            <w:pPr>
              <w:spacing w:after="60"/>
              <w:jc w:val="both"/>
            </w:pPr>
            <w:r>
              <w:lastRenderedPageBreak/>
              <w:t xml:space="preserve">Questa criticità non è rilevabile con la sola consultazione del RNA al momento dell'istruttoria e va quindi portata esplicitamente a conoscenza dell'impresa: si raccomanda di darne conto in modo chiaro sia negli avvisi pubblici regionali, sia nel modulo di autodichiarazione sul cumulo (cfr. Allegato </w:t>
            </w:r>
            <w:r w:rsidR="006D02CB">
              <w:t>B</w:t>
            </w:r>
            <w:r>
              <w:t>), affinché il beneficiario dichiari consapevolmente anche gli aiuti ZES già fruiti ma non ancora registrati nel RNA.</w:t>
            </w:r>
          </w:p>
        </w:tc>
      </w:tr>
    </w:tbl>
    <w:p w14:paraId="5FE8F390" w14:textId="6E5931A4" w:rsidR="00F33590" w:rsidRPr="00817206" w:rsidRDefault="00817206" w:rsidP="00BD64E3">
      <w:pPr>
        <w:jc w:val="both"/>
        <w:rPr>
          <w:b/>
        </w:rPr>
      </w:pPr>
      <w:r w:rsidRPr="00817206">
        <w:rPr>
          <w:b/>
        </w:rPr>
        <w:lastRenderedPageBreak/>
        <w:t>3.2</w:t>
      </w:r>
      <w:r>
        <w:t xml:space="preserve"> </w:t>
      </w:r>
      <w:r w:rsidRPr="00817206">
        <w:rPr>
          <w:b/>
        </w:rPr>
        <w:t>IL DIVIETO DI CUMULO DEL BONUS OCCUPAZIONALE ZES</w:t>
      </w:r>
    </w:p>
    <w:p w14:paraId="431728F0" w14:textId="77777777" w:rsidR="00817206" w:rsidRPr="00817206" w:rsidRDefault="00817206" w:rsidP="00817206">
      <w:pPr>
        <w:jc w:val="both"/>
      </w:pPr>
      <w:r w:rsidRPr="00817206">
        <w:t xml:space="preserve">Le regole di cumulo illustrate ai paragrafi precedenti (basate sul principio generale dell'art. 8 GBER e sul non superamento dell'intensità massima sui medesimi costi) riguardano il credito d'imposta per gli investimenti. Per il bonus occupazionale ZES descritto al par. 2.4, il legislatore ha invece introdotto un regime di cumulo autonomo e più restrittivo: l'art. 2, comma 10, del D.L. 62/2026 dispone che l'esonero contributivo </w:t>
      </w:r>
      <w:r w:rsidRPr="00D11A96">
        <w:rPr>
          <w:b/>
        </w:rPr>
        <w:t>non è cumulabile con altri esoneri contributivi o riduzioni delle aliquote previdenziali</w:t>
      </w:r>
      <w:r w:rsidRPr="00817206">
        <w:t xml:space="preserve"> a carico del datore di lavoro previsti dalla normativa vigente.</w:t>
      </w:r>
    </w:p>
    <w:p w14:paraId="3B92BFDE" w14:textId="67C4C53E" w:rsidR="00817206" w:rsidRDefault="00817206" w:rsidP="00817206">
      <w:pPr>
        <w:jc w:val="both"/>
      </w:pPr>
      <w:r w:rsidRPr="00817206">
        <w:t>Il divieto opera quindi in modo specifico e indipendentemente dalla verifica di un'intensità massima cumulata: non si tratta di stabilire se la somma di due misure superi un tetto percentuale (come per il credito d'imposta agli investimenti), ma di un divieto assoluto di sovrapposizione con qualsiasi altro sgravio o riduzione contributiva datoriale riferito allo stesso rapporto di lavoro, a prescindere dal relativo importo. Tra le misure espressamente individuate come non cumulabili con il bonus ZES rientra, ad esempio, la c.d. Decontribuzione Sud (L. 207/2024).</w:t>
      </w:r>
    </w:p>
    <w:tbl>
      <w:tblPr>
        <w:tblW w:w="5000" w:type="pct"/>
        <w:tblBorders>
          <w:top w:val="single" w:sz="4" w:space="0" w:color="2E5395"/>
          <w:left w:val="single" w:sz="4" w:space="0" w:color="2E5395"/>
          <w:bottom w:val="single" w:sz="4" w:space="0" w:color="2E5395"/>
          <w:right w:val="single" w:sz="4" w:space="0" w:color="2E5395"/>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28"/>
      </w:tblGrid>
      <w:tr w:rsidR="002A0E2B" w14:paraId="30A6C737" w14:textId="77777777" w:rsidTr="000F0288">
        <w:tc>
          <w:tcPr>
            <w:tcW w:w="0" w:type="auto"/>
            <w:shd w:val="clear" w:color="auto" w:fill="F2F2F2"/>
            <w:tcMar>
              <w:top w:w="160" w:type="dxa"/>
              <w:left w:w="200" w:type="dxa"/>
              <w:bottom w:w="160" w:type="dxa"/>
              <w:right w:w="200" w:type="dxa"/>
            </w:tcMar>
          </w:tcPr>
          <w:p w14:paraId="5951D780" w14:textId="77777777" w:rsidR="002A0E2B" w:rsidRDefault="002A0E2B" w:rsidP="000F0288">
            <w:pPr>
              <w:spacing w:after="60"/>
            </w:pPr>
            <w:r>
              <w:rPr>
                <w:b/>
                <w:bCs/>
                <w:color w:val="1F3864"/>
                <w:sz w:val="20"/>
                <w:szCs w:val="20"/>
              </w:rPr>
              <w:t>Punto di attenzione</w:t>
            </w:r>
          </w:p>
          <w:p w14:paraId="33C53C4B" w14:textId="77777777" w:rsidR="002A0E2B" w:rsidRDefault="002A0E2B" w:rsidP="000F0288">
            <w:pPr>
              <w:spacing w:line="280" w:lineRule="auto"/>
              <w:jc w:val="both"/>
            </w:pPr>
            <w:r>
              <w:rPr>
                <w:color w:val="333333"/>
                <w:sz w:val="20"/>
                <w:szCs w:val="20"/>
              </w:rPr>
              <w:t>Il divieto di cumulo previsto per il bonus occupazionale ZES ha un perimetro diverso da quello del credito d'imposta agli investimenti: riguarda esclusivamente gli esoneri e le riduzioni contributive a carico del datore di lavoro sul medesimo rapporto di lavoro, e non si estende automaticamente ad altre tipologie di aiuto (ad esempio un contributo in conto capitale riferito ad altra voce di costo del medesimo progetto), che restano soggette alle regole ordinarie di cumulo previste dalla rispettiva base giuridica. In sede istruttoria è quindi necessario tenere distinti i due regimi di cumulo – quello “per intensità” del credito d'imposta e quello “per esclusione assoluta” del bonus occupazionale – ed è comunque opportuno verificare il testo vigente del decreto attuativo e delle circolari INPS, data la natura recente e in evoluzione della misura.</w:t>
            </w:r>
          </w:p>
        </w:tc>
      </w:tr>
    </w:tbl>
    <w:p w14:paraId="2A091908" w14:textId="77777777" w:rsidR="006D02CB" w:rsidRDefault="006D02CB" w:rsidP="00131395">
      <w:pPr>
        <w:jc w:val="both"/>
      </w:pPr>
    </w:p>
    <w:p w14:paraId="6038E103" w14:textId="77777777" w:rsidR="006D02CB" w:rsidRDefault="006D02CB" w:rsidP="00131395">
      <w:pPr>
        <w:jc w:val="both"/>
      </w:pPr>
    </w:p>
    <w:p w14:paraId="53DEAC71" w14:textId="77777777" w:rsidR="006D02CB" w:rsidRDefault="006D02CB" w:rsidP="00131395">
      <w:pPr>
        <w:jc w:val="both"/>
      </w:pPr>
    </w:p>
    <w:p w14:paraId="725C8927" w14:textId="77777777" w:rsidR="006D02CB" w:rsidRDefault="006D02CB" w:rsidP="00131395">
      <w:pPr>
        <w:jc w:val="both"/>
      </w:pPr>
    </w:p>
    <w:p w14:paraId="0E4C08A5" w14:textId="77777777" w:rsidR="006D02CB" w:rsidRDefault="006D02CB" w:rsidP="00131395">
      <w:pPr>
        <w:jc w:val="both"/>
      </w:pPr>
    </w:p>
    <w:p w14:paraId="5C4F3B15" w14:textId="77777777" w:rsidR="006D02CB" w:rsidRDefault="006D02CB" w:rsidP="00131395">
      <w:pPr>
        <w:jc w:val="both"/>
      </w:pPr>
    </w:p>
    <w:p w14:paraId="4DB22195" w14:textId="77777777" w:rsidR="006D02CB" w:rsidRDefault="006D02CB" w:rsidP="00131395">
      <w:pPr>
        <w:jc w:val="both"/>
      </w:pPr>
    </w:p>
    <w:p w14:paraId="55473694" w14:textId="77777777" w:rsidR="006D02CB" w:rsidRDefault="006D02CB" w:rsidP="00131395">
      <w:pPr>
        <w:jc w:val="both"/>
      </w:pPr>
    </w:p>
    <w:p w14:paraId="7E35BFE1" w14:textId="77777777" w:rsidR="006D02CB" w:rsidRDefault="006D02CB" w:rsidP="00131395">
      <w:pPr>
        <w:jc w:val="both"/>
      </w:pPr>
    </w:p>
    <w:p w14:paraId="307E0D67" w14:textId="77777777" w:rsidR="006D02CB" w:rsidRDefault="006D02CB" w:rsidP="00131395">
      <w:pPr>
        <w:jc w:val="both"/>
      </w:pPr>
    </w:p>
    <w:p w14:paraId="78FE9B19" w14:textId="77777777" w:rsidR="006D02CB" w:rsidRDefault="006D02CB" w:rsidP="00131395">
      <w:pPr>
        <w:jc w:val="both"/>
      </w:pPr>
    </w:p>
    <w:p w14:paraId="0A5C5294" w14:textId="77777777" w:rsidR="006D02CB" w:rsidRDefault="006D02CB" w:rsidP="00131395">
      <w:pPr>
        <w:jc w:val="both"/>
      </w:pPr>
    </w:p>
    <w:p w14:paraId="78E8C09A" w14:textId="77777777" w:rsidR="006D02CB" w:rsidRDefault="006D02CB" w:rsidP="00131395">
      <w:pPr>
        <w:jc w:val="both"/>
      </w:pPr>
    </w:p>
    <w:p w14:paraId="0C8B2514" w14:textId="44512AEE" w:rsidR="00131395" w:rsidRDefault="00131395" w:rsidP="00131395">
      <w:pPr>
        <w:jc w:val="both"/>
      </w:pPr>
      <w:r>
        <w:t xml:space="preserve">3.3 </w:t>
      </w:r>
      <w:r w:rsidRPr="00131395">
        <w:rPr>
          <w:b/>
        </w:rPr>
        <w:t>QUADRO DI SINTESI: I DUE REGIMI DI CUMULO A CONFRONTO</w:t>
      </w:r>
    </w:p>
    <w:p w14:paraId="069B04D9" w14:textId="5380F06D" w:rsidR="00131395" w:rsidRDefault="00131395" w:rsidP="00131395">
      <w:pPr>
        <w:jc w:val="both"/>
      </w:pPr>
      <w:r>
        <w:t>La tabella seguente mette a confronto, sugli stessi costi ammissibili del medesimo progetto, i due regimi di cumulo applicabili rispettivamente al credito d'imposta agli investimenti e al bonus occupazionale ZES.</w:t>
      </w:r>
      <w:r w:rsidRPr="00131395">
        <w:rPr>
          <w:noProof/>
        </w:rPr>
        <w:drawing>
          <wp:inline distT="0" distB="0" distL="0" distR="0" wp14:anchorId="278F8639" wp14:editId="232D89ED">
            <wp:extent cx="5762625" cy="4505325"/>
            <wp:effectExtent l="0" t="0" r="9525"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62625" cy="4505325"/>
                    </a:xfrm>
                    <a:prstGeom prst="rect">
                      <a:avLst/>
                    </a:prstGeom>
                    <a:noFill/>
                    <a:ln>
                      <a:noFill/>
                    </a:ln>
                  </pic:spPr>
                </pic:pic>
              </a:graphicData>
            </a:graphic>
          </wp:inline>
        </w:drawing>
      </w:r>
    </w:p>
    <w:p w14:paraId="3BABE310" w14:textId="022F645A" w:rsidR="00131395" w:rsidRPr="00131395" w:rsidRDefault="00131395" w:rsidP="00131395">
      <w:pPr>
        <w:jc w:val="both"/>
        <w:rPr>
          <w:b/>
        </w:rPr>
      </w:pPr>
      <w:r w:rsidRPr="00131395">
        <w:rPr>
          <w:b/>
        </w:rPr>
        <w:t>3.4. SCHEMA LOGICO DI VERIFICA DEL CUMULO</w:t>
      </w:r>
    </w:p>
    <w:p w14:paraId="4C329E86" w14:textId="77777777" w:rsidR="00131395" w:rsidRDefault="00131395" w:rsidP="00131395">
      <w:pPr>
        <w:jc w:val="both"/>
      </w:pPr>
      <w:r>
        <w:t>Di fronte a un progetto di investimento che intende avvalersi del credito ZES insieme a un'altra agevolazione messa a bando da un diverso soggetto concedente, l'istruttoria dovrebbe seguire in sequenza le seguenti verifiche:</w:t>
      </w:r>
    </w:p>
    <w:p w14:paraId="4CF85FFB" w14:textId="77777777" w:rsidR="00131395" w:rsidRDefault="00131395" w:rsidP="00131395">
      <w:pPr>
        <w:jc w:val="both"/>
      </w:pPr>
      <w:r>
        <w:t>•</w:t>
      </w:r>
      <w:r>
        <w:tab/>
        <w:t>1. Identità del progetto: le due misure si riferiscono allo stesso progetto di investimento iniziale o a progetti distinti, anche se contestuali?</w:t>
      </w:r>
    </w:p>
    <w:p w14:paraId="6F871033" w14:textId="77777777" w:rsidR="00131395" w:rsidRDefault="00131395" w:rsidP="00131395">
      <w:pPr>
        <w:jc w:val="both"/>
      </w:pPr>
      <w:r>
        <w:t>•</w:t>
      </w:r>
      <w:r>
        <w:tab/>
        <w:t>2. Identità dei costi: le voci di spesa finanziate sono individuabili e separabili, oppure coincidono in tutto o in parte?</w:t>
      </w:r>
    </w:p>
    <w:p w14:paraId="2B856393" w14:textId="77777777" w:rsidR="00131395" w:rsidRDefault="00131395" w:rsidP="00131395">
      <w:pPr>
        <w:jc w:val="both"/>
      </w:pPr>
      <w:r>
        <w:t>•</w:t>
      </w:r>
      <w:r>
        <w:tab/>
        <w:t xml:space="preserve">3. Natura della seconda misura: aiuto di Stato notificato/esentato, de </w:t>
      </w:r>
      <w:proofErr w:type="spellStart"/>
      <w:r>
        <w:t>minimis</w:t>
      </w:r>
      <w:proofErr w:type="spellEnd"/>
      <w:r>
        <w:t>, o misura non qualificabile come aiuto?</w:t>
      </w:r>
    </w:p>
    <w:p w14:paraId="3749B95F" w14:textId="77777777" w:rsidR="00131395" w:rsidRDefault="00131395" w:rsidP="00131395">
      <w:pPr>
        <w:jc w:val="both"/>
      </w:pPr>
      <w:r>
        <w:t>•</w:t>
      </w:r>
      <w:r>
        <w:tab/>
        <w:t>4. Verifica dell'intensità massima: qual è il massimale applicabile in base alla Carta degli aiuti per quel Comune e quella dimensione d'impresa, e la somma delle intensità/importi lo rispetta?</w:t>
      </w:r>
    </w:p>
    <w:p w14:paraId="2259497B" w14:textId="77777777" w:rsidR="00131395" w:rsidRDefault="00131395" w:rsidP="00131395">
      <w:pPr>
        <w:jc w:val="both"/>
      </w:pPr>
      <w:r>
        <w:t>•</w:t>
      </w:r>
      <w:r>
        <w:tab/>
        <w:t>5. Verifica formale: dichiarazione del beneficiario e riscontro nel Registro Nazionale degli Aiuti (RNA) prima della concessione della seconda misura.</w:t>
      </w:r>
    </w:p>
    <w:p w14:paraId="45842F4A" w14:textId="0E9F2E92" w:rsidR="00131395" w:rsidRPr="00131395" w:rsidRDefault="00131395" w:rsidP="00131395">
      <w:pPr>
        <w:jc w:val="both"/>
        <w:rPr>
          <w:u w:val="single"/>
        </w:rPr>
      </w:pPr>
      <w:r>
        <w:t xml:space="preserve">4.2 Esempio: cumulo </w:t>
      </w:r>
      <w:r w:rsidRPr="004E138F">
        <w:t xml:space="preserve">con bandi regionali a valere su </w:t>
      </w:r>
      <w:r w:rsidR="00747E67">
        <w:t xml:space="preserve">risorse regionali e/o </w:t>
      </w:r>
      <w:r w:rsidRPr="004E138F">
        <w:t>fondi SIE</w:t>
      </w:r>
    </w:p>
    <w:p w14:paraId="7B170105" w14:textId="77777777" w:rsidR="00131395" w:rsidRDefault="00131395" w:rsidP="00131395">
      <w:pPr>
        <w:jc w:val="both"/>
      </w:pPr>
      <w:r>
        <w:t xml:space="preserve">Nel caso di un bando regionale finanziato con risorse FESR 2021-2027 che sostenga la medesima tipologia di investimento (ad esempio l'acquisto di macchinari), occorre in primo luogo verificare la base giuridica del </w:t>
      </w:r>
      <w:r>
        <w:lastRenderedPageBreak/>
        <w:t xml:space="preserve">bando regionale (regime SA notificato, regime esentato GBER, o de </w:t>
      </w:r>
      <w:proofErr w:type="spellStart"/>
      <w:r>
        <w:t>minimis</w:t>
      </w:r>
      <w:proofErr w:type="spellEnd"/>
      <w:r>
        <w:t>): se il bando regionale opera anch'esso in regime GBER sugli stessi costi, il cumulo con il credito ZES è soggetto al medesimo tetto di intensità massima e va gestito in sede di istruttoria del bando, richiedendo al richiedente dichiarazione espressa sugli aiuti già ottenuti o richiesti sul medesimo progetto.</w:t>
      </w:r>
    </w:p>
    <w:p w14:paraId="3C8F2689" w14:textId="499E339C" w:rsidR="00131395" w:rsidRPr="00131395" w:rsidRDefault="00131395" w:rsidP="00131395">
      <w:pPr>
        <w:jc w:val="both"/>
        <w:rPr>
          <w:b/>
        </w:rPr>
      </w:pPr>
      <w:r w:rsidRPr="00131395">
        <w:rPr>
          <w:b/>
        </w:rPr>
        <w:t>3.5 ADEMPIMENTI DELL'IMPRESA BENEFICIARIA</w:t>
      </w:r>
    </w:p>
    <w:p w14:paraId="5AC62A36" w14:textId="24293B94" w:rsidR="00131395" w:rsidRPr="00435D4A" w:rsidRDefault="00131395" w:rsidP="00131395">
      <w:pPr>
        <w:jc w:val="both"/>
        <w:rPr>
          <w:b/>
        </w:rPr>
      </w:pPr>
      <w:r>
        <w:t>•</w:t>
      </w:r>
      <w:r>
        <w:tab/>
        <w:t xml:space="preserve">dichiarazione, in sede di comunicazione/domanda, degli aiuti de </w:t>
      </w:r>
      <w:proofErr w:type="spellStart"/>
      <w:r>
        <w:t>minimis</w:t>
      </w:r>
      <w:proofErr w:type="spellEnd"/>
      <w:r>
        <w:t xml:space="preserve"> e degli aiuti di Stato già ottenuti o richiesti sul medesimo progetto di investimento;</w:t>
      </w:r>
      <w:r w:rsidR="00435D4A">
        <w:t xml:space="preserve"> </w:t>
      </w:r>
      <w:r w:rsidR="00435D4A" w:rsidRPr="00435D4A">
        <w:rPr>
          <w:b/>
        </w:rPr>
        <w:t>ALLEGATO B</w:t>
      </w:r>
    </w:p>
    <w:p w14:paraId="7F4E4EA7" w14:textId="77777777" w:rsidR="00131395" w:rsidRDefault="00131395" w:rsidP="00131395">
      <w:pPr>
        <w:jc w:val="both"/>
      </w:pPr>
      <w:r>
        <w:t>•</w:t>
      </w:r>
      <w:r>
        <w:tab/>
        <w:t>indicazione della ripartizione dei costi ammissibili tra le diverse misure, ove i costi siano individuabili;</w:t>
      </w:r>
    </w:p>
    <w:p w14:paraId="5177023A" w14:textId="7A2C523A" w:rsidR="00131395" w:rsidRDefault="00131395" w:rsidP="00131395">
      <w:pPr>
        <w:jc w:val="both"/>
      </w:pPr>
      <w:r>
        <w:t>•</w:t>
      </w:r>
      <w:r>
        <w:tab/>
        <w:t>conservazione della documentazione contabile e amministrativa a comprova del rispetto dei massimali, per l'intero periodo di monitoraggio previsto dalla disciplina applicabile.</w:t>
      </w:r>
    </w:p>
    <w:p w14:paraId="14AF2956" w14:textId="77777777" w:rsidR="0022169F" w:rsidRDefault="0022169F" w:rsidP="0022169F">
      <w:pPr>
        <w:jc w:val="both"/>
        <w:rPr>
          <w:b/>
        </w:rPr>
      </w:pPr>
      <w:r w:rsidRPr="0022169F">
        <w:rPr>
          <w:b/>
        </w:rPr>
        <w:t>4. RUOLO DEL SOGGETTO CONCEDENTE E RESPONSABILITÀ DI VERIFICA</w:t>
      </w:r>
    </w:p>
    <w:p w14:paraId="34461C5E" w14:textId="717EC9DC" w:rsidR="0022169F" w:rsidRPr="00435D4A" w:rsidRDefault="0022169F" w:rsidP="0022169F">
      <w:pPr>
        <w:jc w:val="both"/>
        <w:rPr>
          <w:b/>
        </w:rPr>
      </w:pPr>
      <w:r w:rsidRPr="00435D4A">
        <w:rPr>
          <w:b/>
        </w:rPr>
        <w:t>4.1 Il controllo ex ante tramite il Registro Nazionale degli Aiuti</w:t>
      </w:r>
    </w:p>
    <w:p w14:paraId="00BB0883" w14:textId="77777777" w:rsidR="0022169F" w:rsidRDefault="0022169F" w:rsidP="0022169F">
      <w:pPr>
        <w:jc w:val="both"/>
      </w:pPr>
      <w:r>
        <w:t>Ai sensi della disciplina sul Registro Nazionale degli Aiuti di Stato (RNA), ogni soggetto concedente è tenuto, prima della concessione di un aiuto, a verificare tramite il Registro l'esistenza di aiuti pregressi sul medesimo progetto e sui medesimi costi, nonché il rispetto dei massimali di cumulo. Per i settori agricolo e della pesca, ove rilevante, la verifica si estende al Registro SIAN.</w:t>
      </w:r>
    </w:p>
    <w:p w14:paraId="22422C35" w14:textId="79F5F845" w:rsidR="0022169F" w:rsidRPr="00435D4A" w:rsidRDefault="0022169F" w:rsidP="0022169F">
      <w:pPr>
        <w:jc w:val="both"/>
        <w:rPr>
          <w:b/>
        </w:rPr>
      </w:pPr>
      <w:r w:rsidRPr="00435D4A">
        <w:rPr>
          <w:b/>
        </w:rPr>
        <w:t>4.2 Conseguenze del superamento dell'intensità massima</w:t>
      </w:r>
    </w:p>
    <w:p w14:paraId="5FA6C3F2" w14:textId="6FA9CAC7" w:rsidR="0022169F" w:rsidRDefault="0022169F" w:rsidP="0022169F">
      <w:pPr>
        <w:jc w:val="both"/>
      </w:pPr>
      <w:r>
        <w:t xml:space="preserve">Il superamento del massimale di cumulo, ove accertato anche successivamente alla concessione, determina la qualificazione dell'aiuto (o della sua eccedenza) come aiuto </w:t>
      </w:r>
      <w:r w:rsidR="00435D4A">
        <w:t>incompatibile</w:t>
      </w:r>
      <w:r>
        <w:t>, con conseguente obbligo di recupero maggiorato degli interessi a carico del beneficiario, fatte salve le ipotesi di decadenza totale dal beneficio nei casi più gravi o di dichiarazioni non veritiere.</w:t>
      </w:r>
    </w:p>
    <w:p w14:paraId="1BB80654" w14:textId="4B3DA131" w:rsidR="0022169F" w:rsidRPr="00435D4A" w:rsidRDefault="0022169F" w:rsidP="0022169F">
      <w:pPr>
        <w:jc w:val="both"/>
        <w:rPr>
          <w:b/>
        </w:rPr>
      </w:pPr>
      <w:r w:rsidRPr="00435D4A">
        <w:rPr>
          <w:b/>
        </w:rPr>
        <w:t>4.3 Indicazioni operative per i referenti regionali</w:t>
      </w:r>
    </w:p>
    <w:p w14:paraId="7DD7736B" w14:textId="4341C406" w:rsidR="0022169F" w:rsidRDefault="0022169F" w:rsidP="0022169F">
      <w:pPr>
        <w:jc w:val="both"/>
      </w:pPr>
      <w:r>
        <w:t>•</w:t>
      </w:r>
      <w:r>
        <w:tab/>
        <w:t>richiedere sempre, in sede istruttoria, la dichiarazione sostitutiva relativa agli aiuti già ottenuti o richiesti sul medesimo progetto di investimento, indipendentemente dal soggetto concedente</w:t>
      </w:r>
      <w:r w:rsidR="00927EA5">
        <w:t xml:space="preserve">, </w:t>
      </w:r>
      <w:r w:rsidR="00927EA5" w:rsidRPr="006D02CB">
        <w:t>come indicato nell’</w:t>
      </w:r>
      <w:r w:rsidR="008C26B4" w:rsidRPr="006D02CB">
        <w:t>A</w:t>
      </w:r>
      <w:r w:rsidR="00927EA5" w:rsidRPr="006D02CB">
        <w:t>llegato B</w:t>
      </w:r>
      <w:r w:rsidRPr="006D02CB">
        <w:t>;</w:t>
      </w:r>
    </w:p>
    <w:p w14:paraId="4D73C4D5" w14:textId="77777777" w:rsidR="0022169F" w:rsidRDefault="0022169F" w:rsidP="0022169F">
      <w:pPr>
        <w:jc w:val="both"/>
      </w:pPr>
      <w:r>
        <w:t>•</w:t>
      </w:r>
      <w:r>
        <w:tab/>
        <w:t>effettuare la verifica preventiva in RNA prima dell'adozione dell'atto di concessione, non successivamente;</w:t>
      </w:r>
    </w:p>
    <w:p w14:paraId="790706AC" w14:textId="25A56E44" w:rsidR="00131395" w:rsidRDefault="0022169F" w:rsidP="0022169F">
      <w:pPr>
        <w:jc w:val="both"/>
      </w:pPr>
      <w:r>
        <w:t>•</w:t>
      </w:r>
      <w:r>
        <w:tab/>
        <w:t>in caso di dubbio sulla natura “individuabile” dei costi, richiedere all'impresa un piano finanziario del progetto che espliciti la ripartizione delle fonti di copertura per singola voce di spesa;</w:t>
      </w:r>
    </w:p>
    <w:p w14:paraId="68CE48EF" w14:textId="0A6ACCA4" w:rsidR="00856C73" w:rsidRDefault="001659F7" w:rsidP="007A4635">
      <w:pPr>
        <w:jc w:val="both"/>
        <w:rPr>
          <w:b/>
        </w:rPr>
      </w:pPr>
      <w:r>
        <w:rPr>
          <w:b/>
        </w:rPr>
        <w:t xml:space="preserve">4. </w:t>
      </w:r>
      <w:r w:rsidR="00856C73" w:rsidRPr="001659F7">
        <w:rPr>
          <w:b/>
        </w:rPr>
        <w:t>Conclusioni</w:t>
      </w:r>
    </w:p>
    <w:p w14:paraId="32393800" w14:textId="77777777" w:rsidR="007A4635" w:rsidRPr="007A4635" w:rsidRDefault="007A4635" w:rsidP="007A4635">
      <w:pPr>
        <w:jc w:val="both"/>
      </w:pPr>
      <w:r w:rsidRPr="007A4635">
        <w:t xml:space="preserve">Alla luce di quanto sopra esposto, e della finalità del presente documento quale indicata in Premessa, ne consegue che la </w:t>
      </w:r>
      <w:r w:rsidRPr="007A4635">
        <w:rPr>
          <w:bCs/>
        </w:rPr>
        <w:t>ZES unica costituisce, nel suo complesso, un ottimo strumento di crescita economica e di attrazione degli investimenti</w:t>
      </w:r>
      <w:r w:rsidRPr="007A4635">
        <w:t xml:space="preserve"> per il territorio regionale: la combinazione tra semplificazione amministrativa diffusa su tutto il territorio, credito d'imposta selettivo per le aree più svantaggiate e bonus occupazionale a sostegno delle assunzioni consente di attivare, su un medesimo progetto imprenditoriale, una pluralità di leve pubbliche coordinate tra loro.</w:t>
      </w:r>
    </w:p>
    <w:p w14:paraId="58262BD8" w14:textId="145C59D3" w:rsidR="007A4635" w:rsidRPr="007A4635" w:rsidRDefault="007A4635" w:rsidP="007A4635">
      <w:pPr>
        <w:jc w:val="both"/>
      </w:pPr>
      <w:r w:rsidRPr="007A4635">
        <w:t xml:space="preserve">Proprio tale pluralità di strumenti, però, se non </w:t>
      </w:r>
      <w:r w:rsidRPr="007A4635">
        <w:rPr>
          <w:bCs/>
        </w:rPr>
        <w:t>gestita con la necessaria attenzione</w:t>
      </w:r>
      <w:r w:rsidRPr="007A4635">
        <w:t xml:space="preserve">, può dar luogo a situazioni spiacevoli per l'impresa beneficiaria e, in definitiva, </w:t>
      </w:r>
      <w:r w:rsidRPr="007A4635">
        <w:rPr>
          <w:bCs/>
        </w:rPr>
        <w:t>rivelarsi controproducente</w:t>
      </w:r>
      <w:r w:rsidRPr="007A4635">
        <w:t xml:space="preserve"> rispetto alla stessa finalità di sviluppo che la ZES si propone di realizzare: come illustrato nei paragrafi precedenti, il superamento dell'intensità massima di aiuto consentita sugli stessi costi ammissibili – anche quando determinato da una </w:t>
      </w:r>
      <w:r w:rsidRPr="007A4635">
        <w:lastRenderedPageBreak/>
        <w:t xml:space="preserve">mera sfasatura temporale nella registrazione degli aiuti nel RNA, o dalla mancata conoscenza degli aiuti già fruiti dal beneficiario su un altro fronte – comporta la qualificazione dell'eccedenza come aiuto </w:t>
      </w:r>
      <w:r w:rsidR="002A22BD">
        <w:t>incompatibile</w:t>
      </w:r>
      <w:r w:rsidRPr="007A4635">
        <w:t xml:space="preserve"> e il conseguente obbligo di restituzione, maggiorato degli interessi. Un'impresa attratta dalla prospettiva di cumulare più sostegni pubblici sullo stesso investimento potrebbe quindi trovarsi, a distanza di tempo dalla concessione, a dover restituire quanto percepito: l'esito è esattamente opposto a quello che lo strumento ZES intende perseguire.</w:t>
      </w:r>
    </w:p>
    <w:p w14:paraId="4B6CE11F" w14:textId="77777777" w:rsidR="007A4635" w:rsidRPr="007A4635" w:rsidRDefault="007A4635" w:rsidP="007A4635">
      <w:pPr>
        <w:jc w:val="both"/>
      </w:pPr>
      <w:r w:rsidRPr="007A4635">
        <w:t xml:space="preserve">Per questa ragione è essenziale che tanto il </w:t>
      </w:r>
      <w:r w:rsidRPr="007A4635">
        <w:rPr>
          <w:bCs/>
        </w:rPr>
        <w:t>soggetto concedente</w:t>
      </w:r>
      <w:r w:rsidRPr="007A4635">
        <w:t xml:space="preserve"> quanto l'</w:t>
      </w:r>
      <w:r w:rsidRPr="007A4635">
        <w:rPr>
          <w:bCs/>
        </w:rPr>
        <w:t>impresa beneficiaria</w:t>
      </w:r>
      <w:r w:rsidRPr="007A4635">
        <w:t xml:space="preserve"> abbiano piena consapevolezza delle regole che governano la corretta gestione degli strumenti ZES in combinazione con gli altri sostegni pubblici agli investimenti messi in campo da diverse amministrazioni concedenti, statali, regionali ed europee. Tale consapevolezza è precisamente ciò che il presente documento di approfondimento tecnico-giuridico intende offrire: illustrando l'istituto, i suoi due strumenti operativi e i rispettivi e differenti regimi di cumulo, esso fornisce le direttive necessarie a maneggiare correttamente i sostegni pubblici agli investimenti, affinché la ZES unica possa continuare a svolgere, nel territorio marchigiano, la propria funzione di leva per la crescita economica senza esporre le imprese al rischio di doverne restituire i benefici.</w:t>
      </w:r>
    </w:p>
    <w:p w14:paraId="3E3972DD" w14:textId="77777777" w:rsidR="007A4635" w:rsidRPr="007A4635" w:rsidRDefault="007A4635" w:rsidP="001659F7">
      <w:pPr>
        <w:ind w:left="360"/>
        <w:jc w:val="both"/>
      </w:pPr>
    </w:p>
    <w:p w14:paraId="33BF1D86" w14:textId="45DC5BF2" w:rsidR="001659F7" w:rsidRDefault="001659F7" w:rsidP="001659F7">
      <w:pPr>
        <w:jc w:val="both"/>
      </w:pPr>
    </w:p>
    <w:p w14:paraId="31C02A95" w14:textId="342E5D89" w:rsidR="001659F7" w:rsidRDefault="001659F7" w:rsidP="001659F7">
      <w:pPr>
        <w:jc w:val="both"/>
      </w:pPr>
    </w:p>
    <w:p w14:paraId="71C72E94" w14:textId="08F6310F" w:rsidR="001659F7" w:rsidRDefault="003023EA" w:rsidP="001659F7">
      <w:pPr>
        <w:jc w:val="both"/>
      </w:pPr>
      <w:r w:rsidRPr="003023EA">
        <w:rPr>
          <w:noProof/>
        </w:rPr>
        <w:drawing>
          <wp:inline distT="0" distB="0" distL="0" distR="0" wp14:anchorId="0AE107EC" wp14:editId="566F5AAB">
            <wp:extent cx="5762625" cy="1238250"/>
            <wp:effectExtent l="0" t="0" r="9525"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62625" cy="1238250"/>
                    </a:xfrm>
                    <a:prstGeom prst="rect">
                      <a:avLst/>
                    </a:prstGeom>
                    <a:noFill/>
                    <a:ln>
                      <a:noFill/>
                    </a:ln>
                  </pic:spPr>
                </pic:pic>
              </a:graphicData>
            </a:graphic>
          </wp:inline>
        </w:drawing>
      </w:r>
    </w:p>
    <w:sectPr w:rsidR="001659F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F57D7F" w14:textId="77777777" w:rsidR="00A7142A" w:rsidRDefault="00A7142A" w:rsidP="00A7142A">
      <w:pPr>
        <w:spacing w:after="0" w:line="240" w:lineRule="auto"/>
      </w:pPr>
      <w:r>
        <w:separator/>
      </w:r>
    </w:p>
  </w:endnote>
  <w:endnote w:type="continuationSeparator" w:id="0">
    <w:p w14:paraId="65EE104A" w14:textId="77777777" w:rsidR="00A7142A" w:rsidRDefault="00A7142A" w:rsidP="00A714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633B2" w14:textId="77777777" w:rsidR="00A7142A" w:rsidRDefault="00A7142A" w:rsidP="00A7142A">
      <w:pPr>
        <w:spacing w:after="0" w:line="240" w:lineRule="auto"/>
      </w:pPr>
      <w:r>
        <w:separator/>
      </w:r>
    </w:p>
  </w:footnote>
  <w:footnote w:type="continuationSeparator" w:id="0">
    <w:p w14:paraId="21B4A7B2" w14:textId="77777777" w:rsidR="00A7142A" w:rsidRDefault="00A7142A" w:rsidP="00A7142A">
      <w:pPr>
        <w:spacing w:after="0" w:line="240" w:lineRule="auto"/>
      </w:pPr>
      <w:r>
        <w:continuationSeparator/>
      </w:r>
    </w:p>
  </w:footnote>
  <w:footnote w:id="1">
    <w:p w14:paraId="77487B14" w14:textId="64BDCCF4" w:rsidR="00A7142A" w:rsidRDefault="00A7142A" w:rsidP="00A7142A">
      <w:pPr>
        <w:pStyle w:val="Testonotaapidipagina"/>
        <w:jc w:val="both"/>
      </w:pPr>
      <w:r>
        <w:rPr>
          <w:rStyle w:val="Rimandonotaapidipagina"/>
        </w:rPr>
        <w:footnoteRef/>
      </w:r>
      <w:r>
        <w:t xml:space="preserve"> </w:t>
      </w:r>
      <w:r w:rsidRPr="00A7142A">
        <w:t xml:space="preserve">Nota: le intensità massime sopra indicate possono essere maggiorate di 5 punti percentuali qualora il progetto di investimento presenti le caratteristiche di “progetto STEP” ai sensi del Regolamento (UE) 2024/795, che istituisce la Piattaforma per le tecnologie strategiche per l'Europa (“STEP”), come recepito nella Carta degli aiuti a finalità regionale 2022-2027 a seguito della </w:t>
      </w:r>
      <w:r w:rsidR="00D312B1">
        <w:t xml:space="preserve">Comunicazione </w:t>
      </w:r>
      <w:r w:rsidRPr="00A7142A">
        <w:t>della Commissione europea</w:t>
      </w:r>
      <w:r w:rsidR="00D312B1" w:rsidRPr="00D312B1">
        <w:t xml:space="preserve"> C/2024/3516</w:t>
      </w:r>
      <w:r w:rsidR="00D312B1">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E21DF"/>
    <w:multiLevelType w:val="multilevel"/>
    <w:tmpl w:val="2A04294E"/>
    <w:lvl w:ilvl="0">
      <w:start w:val="2"/>
      <w:numFmt w:val="decimal"/>
      <w:lvlText w:val="%1"/>
      <w:lvlJc w:val="left"/>
      <w:pPr>
        <w:ind w:left="444" w:hanging="444"/>
      </w:pPr>
      <w:rPr>
        <w:rFonts w:hint="default"/>
      </w:rPr>
    </w:lvl>
    <w:lvl w:ilvl="1">
      <w:start w:val="2"/>
      <w:numFmt w:val="decimal"/>
      <w:lvlText w:val="%1.%2"/>
      <w:lvlJc w:val="left"/>
      <w:pPr>
        <w:ind w:left="624" w:hanging="444"/>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 w15:restartNumberingAfterBreak="0">
    <w:nsid w:val="0CA24ECE"/>
    <w:multiLevelType w:val="multilevel"/>
    <w:tmpl w:val="F30CBD70"/>
    <w:lvl w:ilvl="0">
      <w:start w:val="1"/>
      <w:numFmt w:val="decimal"/>
      <w:lvlText w:val="%1."/>
      <w:lvlJc w:val="left"/>
      <w:pPr>
        <w:ind w:left="720" w:hanging="360"/>
      </w:pPr>
      <w:rPr>
        <w:rFonts w:hint="default"/>
      </w:rPr>
    </w:lvl>
    <w:lvl w:ilvl="1">
      <w:start w:val="2"/>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27F525B"/>
    <w:multiLevelType w:val="hybridMultilevel"/>
    <w:tmpl w:val="5AB4218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D9C160D"/>
    <w:multiLevelType w:val="hybridMultilevel"/>
    <w:tmpl w:val="308600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FFF378E"/>
    <w:multiLevelType w:val="hybridMultilevel"/>
    <w:tmpl w:val="03669C10"/>
    <w:lvl w:ilvl="0" w:tplc="0410000F">
      <w:start w:val="3"/>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6386892"/>
    <w:multiLevelType w:val="multilevel"/>
    <w:tmpl w:val="FD987404"/>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2D672BF"/>
    <w:multiLevelType w:val="hybridMultilevel"/>
    <w:tmpl w:val="D6B8CFC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33C47B6"/>
    <w:multiLevelType w:val="hybridMultilevel"/>
    <w:tmpl w:val="CB0289D2"/>
    <w:lvl w:ilvl="0" w:tplc="DE88B2F0">
      <w:start w:val="1"/>
      <w:numFmt w:val="bullet"/>
      <w:lvlText w:val="•"/>
      <w:lvlJc w:val="left"/>
      <w:pPr>
        <w:ind w:left="504" w:hanging="259"/>
      </w:pPr>
    </w:lvl>
    <w:lvl w:ilvl="1" w:tplc="31281734">
      <w:start w:val="1"/>
      <w:numFmt w:val="bullet"/>
      <w:lvlText w:val="–"/>
      <w:lvlJc w:val="left"/>
      <w:pPr>
        <w:ind w:left="936" w:hanging="259"/>
      </w:pPr>
    </w:lvl>
    <w:lvl w:ilvl="2" w:tplc="A8F8B772">
      <w:numFmt w:val="decimal"/>
      <w:lvlText w:val=""/>
      <w:lvlJc w:val="left"/>
    </w:lvl>
    <w:lvl w:ilvl="3" w:tplc="2DF0DFA4">
      <w:numFmt w:val="decimal"/>
      <w:lvlText w:val=""/>
      <w:lvlJc w:val="left"/>
    </w:lvl>
    <w:lvl w:ilvl="4" w:tplc="364C9032">
      <w:numFmt w:val="decimal"/>
      <w:lvlText w:val=""/>
      <w:lvlJc w:val="left"/>
    </w:lvl>
    <w:lvl w:ilvl="5" w:tplc="5BDEC4C2">
      <w:numFmt w:val="decimal"/>
      <w:lvlText w:val=""/>
      <w:lvlJc w:val="left"/>
    </w:lvl>
    <w:lvl w:ilvl="6" w:tplc="CF0A2746">
      <w:numFmt w:val="decimal"/>
      <w:lvlText w:val=""/>
      <w:lvlJc w:val="left"/>
    </w:lvl>
    <w:lvl w:ilvl="7" w:tplc="011604EA">
      <w:numFmt w:val="decimal"/>
      <w:lvlText w:val=""/>
      <w:lvlJc w:val="left"/>
    </w:lvl>
    <w:lvl w:ilvl="8" w:tplc="E60CE51E">
      <w:numFmt w:val="decimal"/>
      <w:lvlText w:val=""/>
      <w:lvlJc w:val="left"/>
    </w:lvl>
  </w:abstractNum>
  <w:abstractNum w:abstractNumId="8" w15:restartNumberingAfterBreak="0">
    <w:nsid w:val="34F84606"/>
    <w:multiLevelType w:val="hybridMultilevel"/>
    <w:tmpl w:val="6FB6F2D6"/>
    <w:lvl w:ilvl="0" w:tplc="0410000F">
      <w:start w:val="3"/>
      <w:numFmt w:val="decimal"/>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9" w15:restartNumberingAfterBreak="0">
    <w:nsid w:val="35692917"/>
    <w:multiLevelType w:val="hybridMultilevel"/>
    <w:tmpl w:val="0E369F4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8707225"/>
    <w:multiLevelType w:val="hybridMultilevel"/>
    <w:tmpl w:val="9F88C14C"/>
    <w:lvl w:ilvl="0" w:tplc="387C7A4E">
      <w:start w:val="3"/>
      <w:numFmt w:val="decimal"/>
      <w:lvlText w:val="%1."/>
      <w:lvlJc w:val="left"/>
      <w:pPr>
        <w:ind w:left="1080" w:hanging="360"/>
      </w:pPr>
      <w:rPr>
        <w:rFonts w:hint="default"/>
        <w:b/>
      </w:rPr>
    </w:lvl>
    <w:lvl w:ilvl="1" w:tplc="04100019">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1" w15:restartNumberingAfterBreak="0">
    <w:nsid w:val="3A395AC6"/>
    <w:multiLevelType w:val="hybridMultilevel"/>
    <w:tmpl w:val="696A7C6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84C1EA2"/>
    <w:multiLevelType w:val="hybridMultilevel"/>
    <w:tmpl w:val="680AADDE"/>
    <w:lvl w:ilvl="0" w:tplc="E702DA4E">
      <w:numFmt w:val="bullet"/>
      <w:lvlText w:val=""/>
      <w:lvlJc w:val="left"/>
      <w:pPr>
        <w:ind w:left="720" w:hanging="360"/>
      </w:pPr>
      <w:rPr>
        <w:rFonts w:ascii="Symbol" w:eastAsiaTheme="minorHAnsi" w:hAnsi="Symbol"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6FA400E"/>
    <w:multiLevelType w:val="multilevel"/>
    <w:tmpl w:val="351A98B2"/>
    <w:lvl w:ilvl="0">
      <w:start w:val="2"/>
      <w:numFmt w:val="decimal"/>
      <w:lvlText w:val="%1"/>
      <w:lvlJc w:val="left"/>
      <w:pPr>
        <w:ind w:left="444" w:hanging="444"/>
      </w:pPr>
      <w:rPr>
        <w:rFonts w:hint="default"/>
        <w:b/>
      </w:rPr>
    </w:lvl>
    <w:lvl w:ilvl="1">
      <w:start w:val="1"/>
      <w:numFmt w:val="decimal"/>
      <w:lvlText w:val="%1.%2"/>
      <w:lvlJc w:val="left"/>
      <w:pPr>
        <w:ind w:left="444" w:hanging="444"/>
      </w:pPr>
      <w:rPr>
        <w:rFonts w:hint="default"/>
        <w:b/>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abstractNumId w:val="1"/>
  </w:num>
  <w:num w:numId="2">
    <w:abstractNumId w:val="4"/>
  </w:num>
  <w:num w:numId="3">
    <w:abstractNumId w:val="9"/>
  </w:num>
  <w:num w:numId="4">
    <w:abstractNumId w:val="2"/>
  </w:num>
  <w:num w:numId="5">
    <w:abstractNumId w:val="3"/>
  </w:num>
  <w:num w:numId="6">
    <w:abstractNumId w:val="11"/>
  </w:num>
  <w:num w:numId="7">
    <w:abstractNumId w:val="5"/>
  </w:num>
  <w:num w:numId="8">
    <w:abstractNumId w:val="8"/>
  </w:num>
  <w:num w:numId="9">
    <w:abstractNumId w:val="10"/>
  </w:num>
  <w:num w:numId="10">
    <w:abstractNumId w:val="0"/>
  </w:num>
  <w:num w:numId="11">
    <w:abstractNumId w:val="13"/>
  </w:num>
  <w:num w:numId="12">
    <w:abstractNumId w:val="7"/>
    <w:lvlOverride w:ilvl="0">
      <w:startOverride w:val="1"/>
    </w:lvlOverride>
  </w:num>
  <w:num w:numId="13">
    <w:abstractNumId w:val="6"/>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BEB"/>
    <w:rsid w:val="000047E4"/>
    <w:rsid w:val="00017140"/>
    <w:rsid w:val="00017B91"/>
    <w:rsid w:val="0005144D"/>
    <w:rsid w:val="0005313D"/>
    <w:rsid w:val="00083B87"/>
    <w:rsid w:val="000A4C39"/>
    <w:rsid w:val="000F7BEB"/>
    <w:rsid w:val="00103EB8"/>
    <w:rsid w:val="00121CBC"/>
    <w:rsid w:val="00131395"/>
    <w:rsid w:val="00143EEF"/>
    <w:rsid w:val="001506B3"/>
    <w:rsid w:val="001659F7"/>
    <w:rsid w:val="00193ABC"/>
    <w:rsid w:val="00194688"/>
    <w:rsid w:val="001F5880"/>
    <w:rsid w:val="00203438"/>
    <w:rsid w:val="00216BE2"/>
    <w:rsid w:val="002171E9"/>
    <w:rsid w:val="0022169F"/>
    <w:rsid w:val="00231390"/>
    <w:rsid w:val="00232A69"/>
    <w:rsid w:val="002A00D4"/>
    <w:rsid w:val="002A0E2B"/>
    <w:rsid w:val="002A22BD"/>
    <w:rsid w:val="002A6DB9"/>
    <w:rsid w:val="002C1FFC"/>
    <w:rsid w:val="002C60CA"/>
    <w:rsid w:val="002E4981"/>
    <w:rsid w:val="002F41CF"/>
    <w:rsid w:val="003023EA"/>
    <w:rsid w:val="00351CF1"/>
    <w:rsid w:val="00360279"/>
    <w:rsid w:val="003E6F58"/>
    <w:rsid w:val="003F0526"/>
    <w:rsid w:val="003F2882"/>
    <w:rsid w:val="003F5626"/>
    <w:rsid w:val="004106AE"/>
    <w:rsid w:val="004210ED"/>
    <w:rsid w:val="00435D4A"/>
    <w:rsid w:val="00436425"/>
    <w:rsid w:val="004705A7"/>
    <w:rsid w:val="00482CD9"/>
    <w:rsid w:val="00487962"/>
    <w:rsid w:val="004B1F6F"/>
    <w:rsid w:val="004B32FF"/>
    <w:rsid w:val="004D0F8B"/>
    <w:rsid w:val="004E138F"/>
    <w:rsid w:val="00514B8B"/>
    <w:rsid w:val="005155BF"/>
    <w:rsid w:val="005249DB"/>
    <w:rsid w:val="005436C7"/>
    <w:rsid w:val="00543CB2"/>
    <w:rsid w:val="0056518C"/>
    <w:rsid w:val="0057109C"/>
    <w:rsid w:val="00581D4D"/>
    <w:rsid w:val="005821DE"/>
    <w:rsid w:val="00585729"/>
    <w:rsid w:val="005B7781"/>
    <w:rsid w:val="005D2B74"/>
    <w:rsid w:val="005D6519"/>
    <w:rsid w:val="005E5282"/>
    <w:rsid w:val="00607EEC"/>
    <w:rsid w:val="006266C1"/>
    <w:rsid w:val="00634EDE"/>
    <w:rsid w:val="006541EA"/>
    <w:rsid w:val="00694668"/>
    <w:rsid w:val="006A5E9F"/>
    <w:rsid w:val="006D02CB"/>
    <w:rsid w:val="006D1A4D"/>
    <w:rsid w:val="006E0D64"/>
    <w:rsid w:val="00703F55"/>
    <w:rsid w:val="00713D0F"/>
    <w:rsid w:val="00724042"/>
    <w:rsid w:val="00726993"/>
    <w:rsid w:val="007351D1"/>
    <w:rsid w:val="00742ECB"/>
    <w:rsid w:val="00747E67"/>
    <w:rsid w:val="00787CFA"/>
    <w:rsid w:val="007A4635"/>
    <w:rsid w:val="007A49F2"/>
    <w:rsid w:val="007B01A4"/>
    <w:rsid w:val="00806A77"/>
    <w:rsid w:val="008119ED"/>
    <w:rsid w:val="00817206"/>
    <w:rsid w:val="00822411"/>
    <w:rsid w:val="00824EF8"/>
    <w:rsid w:val="008256B2"/>
    <w:rsid w:val="00856C73"/>
    <w:rsid w:val="00863F40"/>
    <w:rsid w:val="00874922"/>
    <w:rsid w:val="00894D50"/>
    <w:rsid w:val="008C22E9"/>
    <w:rsid w:val="008C26B4"/>
    <w:rsid w:val="008D2E0F"/>
    <w:rsid w:val="008D4A01"/>
    <w:rsid w:val="008E1A5A"/>
    <w:rsid w:val="008E78E0"/>
    <w:rsid w:val="00901F24"/>
    <w:rsid w:val="00915365"/>
    <w:rsid w:val="00920E84"/>
    <w:rsid w:val="00927EA5"/>
    <w:rsid w:val="00967191"/>
    <w:rsid w:val="009674CA"/>
    <w:rsid w:val="009679E5"/>
    <w:rsid w:val="00974E82"/>
    <w:rsid w:val="00983233"/>
    <w:rsid w:val="00985539"/>
    <w:rsid w:val="009A26AD"/>
    <w:rsid w:val="009A619A"/>
    <w:rsid w:val="009D3208"/>
    <w:rsid w:val="009D6F61"/>
    <w:rsid w:val="009F1836"/>
    <w:rsid w:val="009F6DDD"/>
    <w:rsid w:val="00A07E30"/>
    <w:rsid w:val="00A176D2"/>
    <w:rsid w:val="00A2596F"/>
    <w:rsid w:val="00A6411D"/>
    <w:rsid w:val="00A7142A"/>
    <w:rsid w:val="00A80666"/>
    <w:rsid w:val="00AB1087"/>
    <w:rsid w:val="00AC0927"/>
    <w:rsid w:val="00AC4C9B"/>
    <w:rsid w:val="00AD4743"/>
    <w:rsid w:val="00AD772A"/>
    <w:rsid w:val="00AE6654"/>
    <w:rsid w:val="00AE7BD6"/>
    <w:rsid w:val="00AE7EA6"/>
    <w:rsid w:val="00AE7F5E"/>
    <w:rsid w:val="00AF0531"/>
    <w:rsid w:val="00B166B6"/>
    <w:rsid w:val="00B51425"/>
    <w:rsid w:val="00B54ADE"/>
    <w:rsid w:val="00B82250"/>
    <w:rsid w:val="00B86988"/>
    <w:rsid w:val="00BB0F7D"/>
    <w:rsid w:val="00BB5DBF"/>
    <w:rsid w:val="00BD3DCE"/>
    <w:rsid w:val="00BD64E3"/>
    <w:rsid w:val="00BD7C39"/>
    <w:rsid w:val="00BE044A"/>
    <w:rsid w:val="00BE0EA1"/>
    <w:rsid w:val="00BE4814"/>
    <w:rsid w:val="00C00421"/>
    <w:rsid w:val="00C122B9"/>
    <w:rsid w:val="00C13733"/>
    <w:rsid w:val="00C21961"/>
    <w:rsid w:val="00C325B8"/>
    <w:rsid w:val="00C34FF7"/>
    <w:rsid w:val="00C56C4E"/>
    <w:rsid w:val="00C62878"/>
    <w:rsid w:val="00C64966"/>
    <w:rsid w:val="00C7326B"/>
    <w:rsid w:val="00C92D66"/>
    <w:rsid w:val="00C939D3"/>
    <w:rsid w:val="00C94D7B"/>
    <w:rsid w:val="00CC3FD9"/>
    <w:rsid w:val="00CD6DBB"/>
    <w:rsid w:val="00CF0F77"/>
    <w:rsid w:val="00D03A8A"/>
    <w:rsid w:val="00D052DD"/>
    <w:rsid w:val="00D11A96"/>
    <w:rsid w:val="00D312B1"/>
    <w:rsid w:val="00D67485"/>
    <w:rsid w:val="00D703D4"/>
    <w:rsid w:val="00D76DF5"/>
    <w:rsid w:val="00D81B59"/>
    <w:rsid w:val="00DA5BE1"/>
    <w:rsid w:val="00DE082D"/>
    <w:rsid w:val="00DF0FF4"/>
    <w:rsid w:val="00E03CB8"/>
    <w:rsid w:val="00E12750"/>
    <w:rsid w:val="00E1322E"/>
    <w:rsid w:val="00E14BD7"/>
    <w:rsid w:val="00E23FE4"/>
    <w:rsid w:val="00E259D7"/>
    <w:rsid w:val="00E7139B"/>
    <w:rsid w:val="00E9164A"/>
    <w:rsid w:val="00EA03ED"/>
    <w:rsid w:val="00EB2808"/>
    <w:rsid w:val="00EC06D1"/>
    <w:rsid w:val="00EC1A37"/>
    <w:rsid w:val="00EE2F01"/>
    <w:rsid w:val="00EE7830"/>
    <w:rsid w:val="00EF1372"/>
    <w:rsid w:val="00F002BC"/>
    <w:rsid w:val="00F047EC"/>
    <w:rsid w:val="00F20364"/>
    <w:rsid w:val="00F2127E"/>
    <w:rsid w:val="00F3282F"/>
    <w:rsid w:val="00F32EAB"/>
    <w:rsid w:val="00F33590"/>
    <w:rsid w:val="00F43377"/>
    <w:rsid w:val="00F5288A"/>
    <w:rsid w:val="00FB41E0"/>
    <w:rsid w:val="00FD62DD"/>
    <w:rsid w:val="00FE5C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FE4AC"/>
  <w15:chartTrackingRefBased/>
  <w15:docId w15:val="{A835AA77-0FD7-48F6-8ADE-B71F3EF46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2">
    <w:name w:val="heading 2"/>
    <w:basedOn w:val="Normale"/>
    <w:next w:val="Normale"/>
    <w:link w:val="Titolo2Carattere"/>
    <w:uiPriority w:val="9"/>
    <w:semiHidden/>
    <w:unhideWhenUsed/>
    <w:qFormat/>
    <w:rsid w:val="00BB5DB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EE7830"/>
    <w:pPr>
      <w:ind w:left="720"/>
      <w:contextualSpacing/>
    </w:pPr>
  </w:style>
  <w:style w:type="paragraph" w:styleId="NormaleWeb">
    <w:name w:val="Normal (Web)"/>
    <w:basedOn w:val="Normale"/>
    <w:uiPriority w:val="99"/>
    <w:semiHidden/>
    <w:unhideWhenUsed/>
    <w:rsid w:val="00634EDE"/>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whitespace-normal">
    <w:name w:val="whitespace-normal"/>
    <w:basedOn w:val="Carpredefinitoparagrafo"/>
    <w:rsid w:val="00634EDE"/>
  </w:style>
  <w:style w:type="paragraph" w:styleId="Testofumetto">
    <w:name w:val="Balloon Text"/>
    <w:basedOn w:val="Normale"/>
    <w:link w:val="TestofumettoCarattere"/>
    <w:uiPriority w:val="99"/>
    <w:semiHidden/>
    <w:unhideWhenUsed/>
    <w:rsid w:val="00BE4814"/>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BE4814"/>
    <w:rPr>
      <w:rFonts w:ascii="Segoe UI" w:hAnsi="Segoe UI" w:cs="Segoe UI"/>
      <w:sz w:val="18"/>
      <w:szCs w:val="18"/>
    </w:rPr>
  </w:style>
  <w:style w:type="character" w:customStyle="1" w:styleId="Titolo2Carattere">
    <w:name w:val="Titolo 2 Carattere"/>
    <w:basedOn w:val="Carpredefinitoparagrafo"/>
    <w:link w:val="Titolo2"/>
    <w:uiPriority w:val="9"/>
    <w:semiHidden/>
    <w:rsid w:val="00BB5DBF"/>
    <w:rPr>
      <w:rFonts w:asciiTheme="majorHAnsi" w:eastAsiaTheme="majorEastAsia" w:hAnsiTheme="majorHAnsi" w:cstheme="majorBidi"/>
      <w:color w:val="2F5496" w:themeColor="accent1" w:themeShade="BF"/>
      <w:sz w:val="26"/>
      <w:szCs w:val="26"/>
    </w:rPr>
  </w:style>
  <w:style w:type="character" w:styleId="Collegamentoipertestuale">
    <w:name w:val="Hyperlink"/>
    <w:basedOn w:val="Carpredefinitoparagrafo"/>
    <w:uiPriority w:val="99"/>
    <w:unhideWhenUsed/>
    <w:rsid w:val="00FE5CBA"/>
    <w:rPr>
      <w:color w:val="0563C1" w:themeColor="hyperlink"/>
      <w:u w:val="single"/>
    </w:rPr>
  </w:style>
  <w:style w:type="character" w:styleId="Menzionenonrisolta">
    <w:name w:val="Unresolved Mention"/>
    <w:basedOn w:val="Carpredefinitoparagrafo"/>
    <w:uiPriority w:val="99"/>
    <w:semiHidden/>
    <w:unhideWhenUsed/>
    <w:rsid w:val="00FE5CBA"/>
    <w:rPr>
      <w:color w:val="605E5C"/>
      <w:shd w:val="clear" w:color="auto" w:fill="E1DFDD"/>
    </w:rPr>
  </w:style>
  <w:style w:type="paragraph" w:styleId="Testonotaapidipagina">
    <w:name w:val="footnote text"/>
    <w:basedOn w:val="Normale"/>
    <w:link w:val="TestonotaapidipaginaCarattere"/>
    <w:uiPriority w:val="99"/>
    <w:semiHidden/>
    <w:unhideWhenUsed/>
    <w:rsid w:val="00A7142A"/>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A7142A"/>
    <w:rPr>
      <w:sz w:val="20"/>
      <w:szCs w:val="20"/>
    </w:rPr>
  </w:style>
  <w:style w:type="character" w:styleId="Rimandonotaapidipagina">
    <w:name w:val="footnote reference"/>
    <w:basedOn w:val="Carpredefinitoparagrafo"/>
    <w:uiPriority w:val="99"/>
    <w:semiHidden/>
    <w:unhideWhenUsed/>
    <w:rsid w:val="00A7142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6851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emf"/><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agenziaentrate.gov.it/portale/credito-d-imposta-per-investimenti-nella-zes-unica-zes-2026-/che-cos-impres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mpresainungiorno.gov.it/web/l-impresa-e-la-pa-centrale/zes" TargetMode="External"/><Relationship Id="rId5" Type="http://schemas.openxmlformats.org/officeDocument/2006/relationships/numbering" Target="numbering.xml"/><Relationship Id="rId15" Type="http://schemas.openxmlformats.org/officeDocument/2006/relationships/image" Target="media/image2.emf"/><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nps.it/it/it/dettaglio-scheda.it.schede-servizio-strumento.schede-servizi.portale-delle-agevolazioni-ex-diresco--50122.portale-delle-agevolazioni-ex-diresco-.html"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a03ec6a-95be-4d9c-8065-32664c15412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06DA3A90C0F12248A2558CB6F5F4C7D4" ma:contentTypeVersion="18" ma:contentTypeDescription="Creare un nuovo documento." ma:contentTypeScope="" ma:versionID="c7deef4aec1cb9e60a9f1cbefbc0fc43">
  <xsd:schema xmlns:xsd="http://www.w3.org/2001/XMLSchema" xmlns:xs="http://www.w3.org/2001/XMLSchema" xmlns:p="http://schemas.microsoft.com/office/2006/metadata/properties" xmlns:ns3="2dbcba16-e3b6-494e-b8fc-60301d1e53d9" xmlns:ns4="ba03ec6a-95be-4d9c-8065-32664c154128" targetNamespace="http://schemas.microsoft.com/office/2006/metadata/properties" ma:root="true" ma:fieldsID="8301c9b49b1368366dc05a4e8fa8b387" ns3:_="" ns4:_="">
    <xsd:import namespace="2dbcba16-e3b6-494e-b8fc-60301d1e53d9"/>
    <xsd:import namespace="ba03ec6a-95be-4d9c-8065-32664c15412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bcba16-e3b6-494e-b8fc-60301d1e53d9" elementFormDefault="qualified">
    <xsd:import namespace="http://schemas.microsoft.com/office/2006/documentManagement/types"/>
    <xsd:import namespace="http://schemas.microsoft.com/office/infopath/2007/PartnerControls"/>
    <xsd:element name="SharedWithUsers" ma:index="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Condiviso con dettagli" ma:internalName="SharedWithDetails" ma:readOnly="true">
      <xsd:simpleType>
        <xsd:restriction base="dms:Note">
          <xsd:maxLength value="255"/>
        </xsd:restriction>
      </xsd:simpleType>
    </xsd:element>
    <xsd:element name="SharingHintHash" ma:index="10" nillable="true" ma:displayName="Hash suggerimento condivisione"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03ec6a-95be-4d9c-8065-32664c15412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336DFF-3DBF-4743-A446-BFB69BE636E9}">
  <ds:schemaRefs>
    <ds:schemaRef ds:uri="http://schemas.openxmlformats.org/package/2006/metadata/core-properties"/>
    <ds:schemaRef ds:uri="2dbcba16-e3b6-494e-b8fc-60301d1e53d9"/>
    <ds:schemaRef ds:uri="http://purl.org/dc/dcmitype/"/>
    <ds:schemaRef ds:uri="http://purl.org/dc/terms/"/>
    <ds:schemaRef ds:uri="http://schemas.microsoft.com/office/2006/metadata/properties"/>
    <ds:schemaRef ds:uri="http://schemas.microsoft.com/office/2006/documentManagement/types"/>
    <ds:schemaRef ds:uri="http://schemas.microsoft.com/office/infopath/2007/PartnerControls"/>
    <ds:schemaRef ds:uri="http://www.w3.org/XML/1998/namespace"/>
    <ds:schemaRef ds:uri="http://purl.org/dc/elements/1.1/"/>
    <ds:schemaRef ds:uri="ba03ec6a-95be-4d9c-8065-32664c154128"/>
  </ds:schemaRefs>
</ds:datastoreItem>
</file>

<file path=customXml/itemProps2.xml><?xml version="1.0" encoding="utf-8"?>
<ds:datastoreItem xmlns:ds="http://schemas.openxmlformats.org/officeDocument/2006/customXml" ds:itemID="{2693ED72-E22B-45A3-B8D8-033A21C35355}">
  <ds:schemaRefs>
    <ds:schemaRef ds:uri="http://schemas.microsoft.com/sharepoint/v3/contenttype/forms"/>
  </ds:schemaRefs>
</ds:datastoreItem>
</file>

<file path=customXml/itemProps3.xml><?xml version="1.0" encoding="utf-8"?>
<ds:datastoreItem xmlns:ds="http://schemas.openxmlformats.org/officeDocument/2006/customXml" ds:itemID="{5E628A98-7BF1-411A-95C8-012663C897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bcba16-e3b6-494e-b8fc-60301d1e53d9"/>
    <ds:schemaRef ds:uri="ba03ec6a-95be-4d9c-8065-32664c1541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7331F8A-1869-4530-969B-E6299D9837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1826</TotalTime>
  <Pages>10</Pages>
  <Words>4508</Words>
  <Characters>25698</Characters>
  <Application>Microsoft Office Word</Application>
  <DocSecurity>0</DocSecurity>
  <Lines>214</Lines>
  <Paragraphs>60</Paragraphs>
  <ScaleCrop>false</ScaleCrop>
  <HeadingPairs>
    <vt:vector size="2" baseType="variant">
      <vt:variant>
        <vt:lpstr>Titolo</vt:lpstr>
      </vt:variant>
      <vt:variant>
        <vt:i4>1</vt:i4>
      </vt:variant>
    </vt:vector>
  </HeadingPairs>
  <TitlesOfParts>
    <vt:vector size="1" baseType="lpstr">
      <vt:lpstr/>
    </vt:vector>
  </TitlesOfParts>
  <Company>Regione Marche</Company>
  <LinksUpToDate>false</LinksUpToDate>
  <CharactersWithSpaces>30146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Cristiana Sposito</dc:creator>
  <cp:keywords/>
  <dc:description/>
  <cp:lastModifiedBy>Cristiana Sposito</cp:lastModifiedBy>
  <cp:revision>99</cp:revision>
  <cp:lastPrinted>2026-09-08T13:07:00Z</cp:lastPrinted>
  <dcterms:created xsi:type="dcterms:W3CDTF">2026-05-26T09:54:00Z</dcterms:created>
  <dcterms:modified xsi:type="dcterms:W3CDTF">2026-09-09T09:26:00Z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0x01010006DA3A90C0F12248A2558CB6F5F4C7D4</vt:lpwstr>
  </property>
</Properties>
</file>